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D7CF" w14:textId="77777777" w:rsidR="00F552C9" w:rsidRDefault="00D81715" w:rsidP="00692CD9">
      <w:pPr>
        <w:pStyle w:val="Heading1"/>
        <w:rPr>
          <w:rFonts w:asciiTheme="minorHAnsi" w:hAnsiTheme="minorHAnsi" w:cstheme="minorHAnsi"/>
          <w:u w:val="single"/>
        </w:rPr>
      </w:pPr>
      <w:bookmarkStart w:id="0" w:name="_GoBack"/>
      <w:bookmarkEnd w:id="0"/>
      <w:r w:rsidRPr="00D81715">
        <w:rPr>
          <w:noProof/>
          <w:lang w:val="en-US"/>
        </w:rPr>
        <w:drawing>
          <wp:inline distT="0" distB="0" distL="0" distR="0" wp14:anchorId="1F35B45A" wp14:editId="6A54AFE4">
            <wp:extent cx="5850430" cy="159588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860270" cy="1598571"/>
                    </a:xfrm>
                    <a:prstGeom prst="rect">
                      <a:avLst/>
                    </a:prstGeom>
                  </pic:spPr>
                </pic:pic>
              </a:graphicData>
            </a:graphic>
          </wp:inline>
        </w:drawing>
      </w:r>
    </w:p>
    <w:p w14:paraId="446FD194" w14:textId="77777777" w:rsidR="00431D07" w:rsidRPr="006D30D0" w:rsidRDefault="00431D07" w:rsidP="00431D07">
      <w:pPr>
        <w:jc w:val="center"/>
        <w:rPr>
          <w:rFonts w:ascii="Gill Sans MT" w:hAnsi="Gill Sans MT" w:cstheme="minorHAnsi"/>
        </w:rPr>
      </w:pPr>
    </w:p>
    <w:p w14:paraId="10C80024" w14:textId="77777777" w:rsidR="00D6573E" w:rsidRDefault="00D6573E" w:rsidP="00D874F8">
      <w:pPr>
        <w:jc w:val="center"/>
        <w:rPr>
          <w:rFonts w:ascii="Gill Sans MT" w:hAnsi="Gill Sans MT" w:cstheme="minorHAnsi"/>
          <w:b/>
          <w:sz w:val="48"/>
          <w:szCs w:val="48"/>
        </w:rPr>
      </w:pPr>
    </w:p>
    <w:p w14:paraId="63BA2E0E" w14:textId="77777777" w:rsidR="00D6573E" w:rsidRDefault="00D6573E" w:rsidP="00D874F8">
      <w:pPr>
        <w:jc w:val="center"/>
        <w:rPr>
          <w:rFonts w:ascii="Gill Sans MT" w:hAnsi="Gill Sans MT" w:cstheme="minorHAnsi"/>
          <w:b/>
          <w:sz w:val="48"/>
          <w:szCs w:val="48"/>
        </w:rPr>
      </w:pPr>
    </w:p>
    <w:p w14:paraId="7885CC23" w14:textId="77777777" w:rsidR="00D874F8" w:rsidRPr="00D6573E" w:rsidRDefault="00D874F8" w:rsidP="00D874F8">
      <w:pPr>
        <w:jc w:val="center"/>
        <w:rPr>
          <w:rFonts w:ascii="Gill Sans MT" w:hAnsi="Gill Sans MT" w:cstheme="minorHAnsi"/>
          <w:b/>
          <w:sz w:val="48"/>
          <w:szCs w:val="48"/>
        </w:rPr>
      </w:pPr>
      <w:r w:rsidRPr="00D6573E">
        <w:rPr>
          <w:rFonts w:ascii="Gill Sans MT" w:hAnsi="Gill Sans MT" w:cstheme="minorHAnsi"/>
          <w:b/>
          <w:sz w:val="48"/>
          <w:szCs w:val="48"/>
        </w:rPr>
        <w:t xml:space="preserve">Save the Children: </w:t>
      </w:r>
      <w:r w:rsidR="00FE5235" w:rsidRPr="00D6573E">
        <w:rPr>
          <w:rFonts w:ascii="Gill Sans MT" w:hAnsi="Gill Sans MT" w:cstheme="minorHAnsi"/>
          <w:b/>
          <w:i/>
          <w:sz w:val="48"/>
          <w:szCs w:val="48"/>
          <w:highlight w:val="lightGray"/>
        </w:rPr>
        <w:t>Senegal</w:t>
      </w:r>
    </w:p>
    <w:p w14:paraId="3FF560FD" w14:textId="77777777" w:rsidR="00D874F8" w:rsidRPr="00D6573E" w:rsidRDefault="00AF0A68" w:rsidP="00D874F8">
      <w:pPr>
        <w:jc w:val="center"/>
        <w:rPr>
          <w:rFonts w:ascii="Gill Sans MT" w:hAnsi="Gill Sans MT" w:cstheme="minorHAnsi"/>
          <w:b/>
          <w:sz w:val="40"/>
          <w:szCs w:val="40"/>
        </w:rPr>
      </w:pPr>
      <w:r w:rsidRPr="00D6573E">
        <w:rPr>
          <w:rFonts w:ascii="Gill Sans MT" w:hAnsi="Gill Sans MT" w:cstheme="minorHAnsi"/>
          <w:b/>
          <w:sz w:val="40"/>
          <w:szCs w:val="40"/>
        </w:rPr>
        <w:t>2013</w:t>
      </w:r>
      <w:r w:rsidR="00917789" w:rsidRPr="00D6573E">
        <w:rPr>
          <w:rFonts w:ascii="Gill Sans MT" w:hAnsi="Gill Sans MT" w:cstheme="minorHAnsi"/>
          <w:b/>
          <w:sz w:val="40"/>
          <w:szCs w:val="40"/>
        </w:rPr>
        <w:t xml:space="preserve"> </w:t>
      </w:r>
      <w:r w:rsidR="00A325D2" w:rsidRPr="00D6573E">
        <w:rPr>
          <w:rFonts w:ascii="Gill Sans MT" w:hAnsi="Gill Sans MT" w:cstheme="minorHAnsi"/>
          <w:b/>
          <w:sz w:val="40"/>
          <w:szCs w:val="40"/>
        </w:rPr>
        <w:t>Country Annual Report</w:t>
      </w:r>
    </w:p>
    <w:p w14:paraId="43969091" w14:textId="77777777" w:rsidR="00D6573E" w:rsidRDefault="00D6573E">
      <w:pPr>
        <w:rPr>
          <w:rFonts w:ascii="Gill Sans MT" w:hAnsi="Gill Sans MT" w:cstheme="minorHAnsi"/>
        </w:rPr>
      </w:pPr>
      <w:r>
        <w:rPr>
          <w:rFonts w:ascii="Gill Sans MT" w:hAnsi="Gill Sans MT" w:cstheme="minorHAnsi"/>
        </w:rPr>
        <w:br w:type="page"/>
      </w:r>
    </w:p>
    <w:sdt>
      <w:sdtPr>
        <w:rPr>
          <w:rFonts w:ascii="Times New Roman" w:eastAsia="Times New Roman" w:hAnsi="Times New Roman" w:cs="Times New Roman"/>
          <w:color w:val="auto"/>
          <w:sz w:val="24"/>
          <w:szCs w:val="24"/>
          <w:lang w:val="en-GB"/>
        </w:rPr>
        <w:id w:val="1004400128"/>
        <w:docPartObj>
          <w:docPartGallery w:val="Table of Contents"/>
          <w:docPartUnique/>
        </w:docPartObj>
      </w:sdtPr>
      <w:sdtEndPr>
        <w:rPr>
          <w:b/>
          <w:bCs/>
          <w:noProof/>
        </w:rPr>
      </w:sdtEndPr>
      <w:sdtContent>
        <w:p w14:paraId="0234EF89" w14:textId="77777777" w:rsidR="00D6573E" w:rsidRDefault="00D6573E">
          <w:pPr>
            <w:pStyle w:val="TOCHeading"/>
          </w:pPr>
          <w:r>
            <w:t>Table of Contents</w:t>
          </w:r>
        </w:p>
        <w:p w14:paraId="43D5FA9D" w14:textId="77777777" w:rsidR="005E57A7" w:rsidRDefault="00D6573E">
          <w:pPr>
            <w:pStyle w:val="TOC1"/>
            <w:tabs>
              <w:tab w:val="left" w:pos="440"/>
              <w:tab w:val="right" w:leader="dot" w:pos="9204"/>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384042242" w:history="1">
            <w:r w:rsidR="005E57A7" w:rsidRPr="00FB5ADB">
              <w:rPr>
                <w:rStyle w:val="Hyperlink"/>
                <w:noProof/>
              </w:rPr>
              <w:t>I-</w:t>
            </w:r>
            <w:r w:rsidR="005E57A7">
              <w:rPr>
                <w:rFonts w:asciiTheme="minorHAnsi" w:eastAsiaTheme="minorEastAsia" w:hAnsiTheme="minorHAnsi" w:cstheme="minorBidi"/>
                <w:noProof/>
                <w:sz w:val="22"/>
                <w:szCs w:val="22"/>
                <w:lang w:val="en-US"/>
              </w:rPr>
              <w:tab/>
            </w:r>
            <w:r w:rsidR="005E57A7" w:rsidRPr="00FB5ADB">
              <w:rPr>
                <w:rStyle w:val="Hyperlink"/>
                <w:noProof/>
              </w:rPr>
              <w:t>Executive Summary</w:t>
            </w:r>
            <w:r w:rsidR="005E57A7">
              <w:rPr>
                <w:noProof/>
                <w:webHidden/>
              </w:rPr>
              <w:tab/>
            </w:r>
            <w:r w:rsidR="005E57A7">
              <w:rPr>
                <w:noProof/>
                <w:webHidden/>
              </w:rPr>
              <w:fldChar w:fldCharType="begin"/>
            </w:r>
            <w:r w:rsidR="005E57A7">
              <w:rPr>
                <w:noProof/>
                <w:webHidden/>
              </w:rPr>
              <w:instrText xml:space="preserve"> PAGEREF _Toc384042242 \h </w:instrText>
            </w:r>
            <w:r w:rsidR="005E57A7">
              <w:rPr>
                <w:noProof/>
                <w:webHidden/>
              </w:rPr>
            </w:r>
            <w:r w:rsidR="005E57A7">
              <w:rPr>
                <w:noProof/>
                <w:webHidden/>
              </w:rPr>
              <w:fldChar w:fldCharType="separate"/>
            </w:r>
            <w:r w:rsidR="005E57A7">
              <w:rPr>
                <w:noProof/>
                <w:webHidden/>
              </w:rPr>
              <w:t>3</w:t>
            </w:r>
            <w:r w:rsidR="005E57A7">
              <w:rPr>
                <w:noProof/>
                <w:webHidden/>
              </w:rPr>
              <w:fldChar w:fldCharType="end"/>
            </w:r>
          </w:hyperlink>
        </w:p>
        <w:p w14:paraId="02FC3A73" w14:textId="77777777" w:rsidR="005E57A7" w:rsidRDefault="00692CD9">
          <w:pPr>
            <w:pStyle w:val="TOC1"/>
            <w:tabs>
              <w:tab w:val="left" w:pos="660"/>
              <w:tab w:val="right" w:leader="dot" w:pos="9204"/>
            </w:tabs>
            <w:rPr>
              <w:rFonts w:asciiTheme="minorHAnsi" w:eastAsiaTheme="minorEastAsia" w:hAnsiTheme="minorHAnsi" w:cstheme="minorBidi"/>
              <w:noProof/>
              <w:sz w:val="22"/>
              <w:szCs w:val="22"/>
              <w:lang w:val="en-US"/>
            </w:rPr>
          </w:pPr>
          <w:hyperlink w:anchor="_Toc384042243" w:history="1">
            <w:r w:rsidR="005E57A7" w:rsidRPr="00FB5ADB">
              <w:rPr>
                <w:rStyle w:val="Hyperlink"/>
                <w:noProof/>
              </w:rPr>
              <w:t>II-</w:t>
            </w:r>
            <w:r w:rsidR="005E57A7">
              <w:rPr>
                <w:rFonts w:asciiTheme="minorHAnsi" w:eastAsiaTheme="minorEastAsia" w:hAnsiTheme="minorHAnsi" w:cstheme="minorBidi"/>
                <w:noProof/>
                <w:sz w:val="22"/>
                <w:szCs w:val="22"/>
                <w:lang w:val="en-US"/>
              </w:rPr>
              <w:tab/>
            </w:r>
            <w:r w:rsidR="005E57A7" w:rsidRPr="00FB5ADB">
              <w:rPr>
                <w:rStyle w:val="Hyperlink"/>
                <w:noProof/>
              </w:rPr>
              <w:t>Country Context</w:t>
            </w:r>
            <w:r w:rsidR="005E57A7">
              <w:rPr>
                <w:noProof/>
                <w:webHidden/>
              </w:rPr>
              <w:tab/>
            </w:r>
            <w:r w:rsidR="005E57A7">
              <w:rPr>
                <w:noProof/>
                <w:webHidden/>
              </w:rPr>
              <w:fldChar w:fldCharType="begin"/>
            </w:r>
            <w:r w:rsidR="005E57A7">
              <w:rPr>
                <w:noProof/>
                <w:webHidden/>
              </w:rPr>
              <w:instrText xml:space="preserve"> PAGEREF _Toc384042243 \h </w:instrText>
            </w:r>
            <w:r w:rsidR="005E57A7">
              <w:rPr>
                <w:noProof/>
                <w:webHidden/>
              </w:rPr>
            </w:r>
            <w:r w:rsidR="005E57A7">
              <w:rPr>
                <w:noProof/>
                <w:webHidden/>
              </w:rPr>
              <w:fldChar w:fldCharType="separate"/>
            </w:r>
            <w:r w:rsidR="005E57A7">
              <w:rPr>
                <w:noProof/>
                <w:webHidden/>
              </w:rPr>
              <w:t>5</w:t>
            </w:r>
            <w:r w:rsidR="005E57A7">
              <w:rPr>
                <w:noProof/>
                <w:webHidden/>
              </w:rPr>
              <w:fldChar w:fldCharType="end"/>
            </w:r>
          </w:hyperlink>
        </w:p>
        <w:p w14:paraId="215AF6FD" w14:textId="77777777" w:rsidR="005E57A7" w:rsidRDefault="00692CD9">
          <w:pPr>
            <w:pStyle w:val="TOC1"/>
            <w:tabs>
              <w:tab w:val="left" w:pos="660"/>
              <w:tab w:val="right" w:leader="dot" w:pos="9204"/>
            </w:tabs>
            <w:rPr>
              <w:rFonts w:asciiTheme="minorHAnsi" w:eastAsiaTheme="minorEastAsia" w:hAnsiTheme="minorHAnsi" w:cstheme="minorBidi"/>
              <w:noProof/>
              <w:sz w:val="22"/>
              <w:szCs w:val="22"/>
              <w:lang w:val="en-US"/>
            </w:rPr>
          </w:pPr>
          <w:hyperlink w:anchor="_Toc384042244" w:history="1">
            <w:r w:rsidR="005E57A7" w:rsidRPr="00FB5ADB">
              <w:rPr>
                <w:rStyle w:val="Hyperlink"/>
                <w:noProof/>
              </w:rPr>
              <w:t>III-</w:t>
            </w:r>
            <w:r w:rsidR="005E57A7">
              <w:rPr>
                <w:rFonts w:asciiTheme="minorHAnsi" w:eastAsiaTheme="minorEastAsia" w:hAnsiTheme="minorHAnsi" w:cstheme="minorBidi"/>
                <w:noProof/>
                <w:sz w:val="22"/>
                <w:szCs w:val="22"/>
                <w:lang w:val="en-US"/>
              </w:rPr>
              <w:tab/>
            </w:r>
            <w:r w:rsidR="005E57A7" w:rsidRPr="00FB5ADB">
              <w:rPr>
                <w:rStyle w:val="Hyperlink"/>
                <w:noProof/>
              </w:rPr>
              <w:t>Highlights of Achievements and Lessons Learnt</w:t>
            </w:r>
            <w:r w:rsidR="005E57A7">
              <w:rPr>
                <w:noProof/>
                <w:webHidden/>
              </w:rPr>
              <w:tab/>
            </w:r>
            <w:r w:rsidR="005E57A7">
              <w:rPr>
                <w:noProof/>
                <w:webHidden/>
              </w:rPr>
              <w:fldChar w:fldCharType="begin"/>
            </w:r>
            <w:r w:rsidR="005E57A7">
              <w:rPr>
                <w:noProof/>
                <w:webHidden/>
              </w:rPr>
              <w:instrText xml:space="preserve"> PAGEREF _Toc384042244 \h </w:instrText>
            </w:r>
            <w:r w:rsidR="005E57A7">
              <w:rPr>
                <w:noProof/>
                <w:webHidden/>
              </w:rPr>
            </w:r>
            <w:r w:rsidR="005E57A7">
              <w:rPr>
                <w:noProof/>
                <w:webHidden/>
              </w:rPr>
              <w:fldChar w:fldCharType="separate"/>
            </w:r>
            <w:r w:rsidR="005E57A7">
              <w:rPr>
                <w:noProof/>
                <w:webHidden/>
              </w:rPr>
              <w:t>7</w:t>
            </w:r>
            <w:r w:rsidR="005E57A7">
              <w:rPr>
                <w:noProof/>
                <w:webHidden/>
              </w:rPr>
              <w:fldChar w:fldCharType="end"/>
            </w:r>
          </w:hyperlink>
        </w:p>
        <w:p w14:paraId="39C21E01" w14:textId="77777777" w:rsidR="005E57A7" w:rsidRDefault="00692CD9">
          <w:pPr>
            <w:pStyle w:val="TOC1"/>
            <w:tabs>
              <w:tab w:val="left" w:pos="660"/>
              <w:tab w:val="right" w:leader="dot" w:pos="9204"/>
            </w:tabs>
            <w:rPr>
              <w:rFonts w:asciiTheme="minorHAnsi" w:eastAsiaTheme="minorEastAsia" w:hAnsiTheme="minorHAnsi" w:cstheme="minorBidi"/>
              <w:noProof/>
              <w:sz w:val="22"/>
              <w:szCs w:val="22"/>
              <w:lang w:val="en-US"/>
            </w:rPr>
          </w:pPr>
          <w:hyperlink w:anchor="_Toc384042245" w:history="1">
            <w:r w:rsidR="005E57A7" w:rsidRPr="00FB5ADB">
              <w:rPr>
                <w:rStyle w:val="Hyperlink"/>
                <w:noProof/>
              </w:rPr>
              <w:t>IV-</w:t>
            </w:r>
            <w:r w:rsidR="005E57A7">
              <w:rPr>
                <w:rFonts w:asciiTheme="minorHAnsi" w:eastAsiaTheme="minorEastAsia" w:hAnsiTheme="minorHAnsi" w:cstheme="minorBidi"/>
                <w:noProof/>
                <w:sz w:val="22"/>
                <w:szCs w:val="22"/>
                <w:lang w:val="en-US"/>
              </w:rPr>
              <w:tab/>
            </w:r>
            <w:r w:rsidR="005E57A7" w:rsidRPr="00FB5ADB">
              <w:rPr>
                <w:rStyle w:val="Hyperlink"/>
                <w:noProof/>
              </w:rPr>
              <w:t>Management and Operational Results</w:t>
            </w:r>
            <w:r w:rsidR="005E57A7">
              <w:rPr>
                <w:noProof/>
                <w:webHidden/>
              </w:rPr>
              <w:tab/>
            </w:r>
            <w:r w:rsidR="005E57A7">
              <w:rPr>
                <w:noProof/>
                <w:webHidden/>
              </w:rPr>
              <w:fldChar w:fldCharType="begin"/>
            </w:r>
            <w:r w:rsidR="005E57A7">
              <w:rPr>
                <w:noProof/>
                <w:webHidden/>
              </w:rPr>
              <w:instrText xml:space="preserve"> PAGEREF _Toc384042245 \h </w:instrText>
            </w:r>
            <w:r w:rsidR="005E57A7">
              <w:rPr>
                <w:noProof/>
                <w:webHidden/>
              </w:rPr>
            </w:r>
            <w:r w:rsidR="005E57A7">
              <w:rPr>
                <w:noProof/>
                <w:webHidden/>
              </w:rPr>
              <w:fldChar w:fldCharType="separate"/>
            </w:r>
            <w:r w:rsidR="005E57A7">
              <w:rPr>
                <w:noProof/>
                <w:webHidden/>
              </w:rPr>
              <w:t>13</w:t>
            </w:r>
            <w:r w:rsidR="005E57A7">
              <w:rPr>
                <w:noProof/>
                <w:webHidden/>
              </w:rPr>
              <w:fldChar w:fldCharType="end"/>
            </w:r>
          </w:hyperlink>
        </w:p>
        <w:p w14:paraId="6705F1E4" w14:textId="77777777" w:rsidR="005E57A7" w:rsidRDefault="00692CD9">
          <w:pPr>
            <w:pStyle w:val="TOC1"/>
            <w:tabs>
              <w:tab w:val="left" w:pos="660"/>
              <w:tab w:val="right" w:leader="dot" w:pos="9204"/>
            </w:tabs>
            <w:rPr>
              <w:rFonts w:asciiTheme="minorHAnsi" w:eastAsiaTheme="minorEastAsia" w:hAnsiTheme="minorHAnsi" w:cstheme="minorBidi"/>
              <w:noProof/>
              <w:sz w:val="22"/>
              <w:szCs w:val="22"/>
              <w:lang w:val="en-US"/>
            </w:rPr>
          </w:pPr>
          <w:hyperlink w:anchor="_Toc384042246" w:history="1">
            <w:r w:rsidR="005E57A7" w:rsidRPr="00FB5ADB">
              <w:rPr>
                <w:rStyle w:val="Hyperlink"/>
                <w:noProof/>
              </w:rPr>
              <w:t>V-</w:t>
            </w:r>
            <w:r w:rsidR="005E57A7">
              <w:rPr>
                <w:rFonts w:asciiTheme="minorHAnsi" w:eastAsiaTheme="minorEastAsia" w:hAnsiTheme="minorHAnsi" w:cstheme="minorBidi"/>
                <w:noProof/>
                <w:sz w:val="22"/>
                <w:szCs w:val="22"/>
                <w:lang w:val="en-US"/>
              </w:rPr>
              <w:tab/>
            </w:r>
            <w:r w:rsidR="005E57A7" w:rsidRPr="00FB5ADB">
              <w:rPr>
                <w:rStyle w:val="Hyperlink"/>
                <w:noProof/>
              </w:rPr>
              <w:t>Financial Results</w:t>
            </w:r>
            <w:r w:rsidR="005E57A7">
              <w:rPr>
                <w:noProof/>
                <w:webHidden/>
              </w:rPr>
              <w:tab/>
            </w:r>
            <w:r w:rsidR="005E57A7">
              <w:rPr>
                <w:noProof/>
                <w:webHidden/>
              </w:rPr>
              <w:fldChar w:fldCharType="begin"/>
            </w:r>
            <w:r w:rsidR="005E57A7">
              <w:rPr>
                <w:noProof/>
                <w:webHidden/>
              </w:rPr>
              <w:instrText xml:space="preserve"> PAGEREF _Toc384042246 \h </w:instrText>
            </w:r>
            <w:r w:rsidR="005E57A7">
              <w:rPr>
                <w:noProof/>
                <w:webHidden/>
              </w:rPr>
            </w:r>
            <w:r w:rsidR="005E57A7">
              <w:rPr>
                <w:noProof/>
                <w:webHidden/>
              </w:rPr>
              <w:fldChar w:fldCharType="separate"/>
            </w:r>
            <w:r w:rsidR="005E57A7">
              <w:rPr>
                <w:noProof/>
                <w:webHidden/>
              </w:rPr>
              <w:t>15</w:t>
            </w:r>
            <w:r w:rsidR="005E57A7">
              <w:rPr>
                <w:noProof/>
                <w:webHidden/>
              </w:rPr>
              <w:fldChar w:fldCharType="end"/>
            </w:r>
          </w:hyperlink>
        </w:p>
        <w:p w14:paraId="6A1D9663" w14:textId="77777777" w:rsidR="005E57A7" w:rsidRDefault="00692CD9">
          <w:pPr>
            <w:pStyle w:val="TOC1"/>
            <w:tabs>
              <w:tab w:val="right" w:leader="dot" w:pos="9204"/>
            </w:tabs>
            <w:rPr>
              <w:rFonts w:asciiTheme="minorHAnsi" w:eastAsiaTheme="minorEastAsia" w:hAnsiTheme="minorHAnsi" w:cstheme="minorBidi"/>
              <w:noProof/>
              <w:sz w:val="22"/>
              <w:szCs w:val="22"/>
              <w:lang w:val="en-US"/>
            </w:rPr>
          </w:pPr>
          <w:hyperlink w:anchor="_Toc384042247" w:history="1">
            <w:r w:rsidR="005E57A7" w:rsidRPr="00FB5ADB">
              <w:rPr>
                <w:rStyle w:val="Hyperlink"/>
                <w:noProof/>
              </w:rPr>
              <w:t>VI- Annexes</w:t>
            </w:r>
            <w:r w:rsidR="005E57A7">
              <w:rPr>
                <w:noProof/>
                <w:webHidden/>
              </w:rPr>
              <w:tab/>
            </w:r>
            <w:r w:rsidR="005E57A7">
              <w:rPr>
                <w:noProof/>
                <w:webHidden/>
              </w:rPr>
              <w:fldChar w:fldCharType="begin"/>
            </w:r>
            <w:r w:rsidR="005E57A7">
              <w:rPr>
                <w:noProof/>
                <w:webHidden/>
              </w:rPr>
              <w:instrText xml:space="preserve"> PAGEREF _Toc384042247 \h </w:instrText>
            </w:r>
            <w:r w:rsidR="005E57A7">
              <w:rPr>
                <w:noProof/>
                <w:webHidden/>
              </w:rPr>
            </w:r>
            <w:r w:rsidR="005E57A7">
              <w:rPr>
                <w:noProof/>
                <w:webHidden/>
              </w:rPr>
              <w:fldChar w:fldCharType="separate"/>
            </w:r>
            <w:r w:rsidR="005E57A7">
              <w:rPr>
                <w:noProof/>
                <w:webHidden/>
              </w:rPr>
              <w:t>16</w:t>
            </w:r>
            <w:r w:rsidR="005E57A7">
              <w:rPr>
                <w:noProof/>
                <w:webHidden/>
              </w:rPr>
              <w:fldChar w:fldCharType="end"/>
            </w:r>
          </w:hyperlink>
        </w:p>
        <w:p w14:paraId="0C1F36A6" w14:textId="77777777" w:rsidR="00D6573E" w:rsidRDefault="00D6573E">
          <w:r>
            <w:rPr>
              <w:b/>
              <w:bCs/>
              <w:noProof/>
            </w:rPr>
            <w:fldChar w:fldCharType="end"/>
          </w:r>
        </w:p>
      </w:sdtContent>
    </w:sdt>
    <w:p w14:paraId="24803A40" w14:textId="77777777" w:rsidR="00D6573E" w:rsidRDefault="00D6573E">
      <w:pPr>
        <w:rPr>
          <w:rFonts w:ascii="Gill Sans MT" w:hAnsi="Gill Sans MT" w:cstheme="minorHAnsi"/>
        </w:rPr>
      </w:pPr>
      <w:r>
        <w:rPr>
          <w:rFonts w:ascii="Gill Sans MT" w:hAnsi="Gill Sans MT" w:cstheme="minorHAnsi"/>
        </w:rPr>
        <w:br w:type="page"/>
      </w:r>
    </w:p>
    <w:p w14:paraId="664768B6" w14:textId="77777777" w:rsidR="00D6573E" w:rsidRDefault="00D6573E">
      <w:pPr>
        <w:rPr>
          <w:rFonts w:ascii="Gill Sans MT" w:hAnsi="Gill Sans MT" w:cstheme="minorHAnsi"/>
        </w:rPr>
      </w:pPr>
    </w:p>
    <w:p w14:paraId="5C89088C" w14:textId="77777777" w:rsidR="00D874F8" w:rsidRPr="006D30D0" w:rsidRDefault="00D874F8" w:rsidP="00D874F8">
      <w:pPr>
        <w:jc w:val="center"/>
        <w:rPr>
          <w:rFonts w:ascii="Gill Sans MT" w:hAnsi="Gill Sans MT" w:cstheme="minorHAnsi"/>
        </w:rPr>
      </w:pPr>
    </w:p>
    <w:p w14:paraId="1019DB6C" w14:textId="77777777" w:rsidR="00110830" w:rsidRPr="00FF4116" w:rsidRDefault="00110830" w:rsidP="00D6573E">
      <w:pPr>
        <w:pStyle w:val="Heading1"/>
        <w:numPr>
          <w:ilvl w:val="0"/>
          <w:numId w:val="13"/>
        </w:numPr>
      </w:pPr>
      <w:bookmarkStart w:id="1" w:name="_Toc384042242"/>
      <w:r>
        <w:t xml:space="preserve">Executive </w:t>
      </w:r>
      <w:r w:rsidRPr="00FF4116">
        <w:t>Summary</w:t>
      </w:r>
      <w:bookmarkEnd w:id="1"/>
      <w:r w:rsidRPr="00FF4116">
        <w:rPr>
          <w:i/>
        </w:rPr>
        <w:t xml:space="preserve">  </w:t>
      </w:r>
    </w:p>
    <w:p w14:paraId="4B037BAD" w14:textId="77777777" w:rsidR="00110830" w:rsidRDefault="00110830" w:rsidP="00110830">
      <w:pPr>
        <w:jc w:val="both"/>
        <w:rPr>
          <w:rFonts w:ascii="Gill Sans MT" w:hAnsi="Gill Sans MT" w:cstheme="minorHAnsi"/>
          <w:b/>
        </w:rPr>
      </w:pPr>
    </w:p>
    <w:p w14:paraId="5FAC7396" w14:textId="77777777" w:rsidR="0005179D" w:rsidRDefault="0005179D" w:rsidP="0005179D">
      <w:pPr>
        <w:pBdr>
          <w:top w:val="single" w:sz="4" w:space="1" w:color="auto"/>
          <w:left w:val="single" w:sz="4" w:space="4" w:color="auto"/>
          <w:bottom w:val="single" w:sz="4" w:space="31" w:color="auto"/>
          <w:right w:val="single" w:sz="4" w:space="4" w:color="auto"/>
        </w:pBdr>
        <w:rPr>
          <w:rFonts w:ascii="Gill Sans MT" w:hAnsi="Gill Sans MT" w:cstheme="minorHAnsi"/>
          <w:i/>
        </w:rPr>
      </w:pPr>
    </w:p>
    <w:p w14:paraId="75DB363A" w14:textId="77777777" w:rsidR="00A205DB" w:rsidRDefault="00E876C0" w:rsidP="00E876C0">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Pr>
          <w:rFonts w:ascii="Gill Sans MT" w:hAnsi="Gill Sans MT" w:cstheme="minorHAnsi"/>
        </w:rPr>
        <w:t xml:space="preserve">In </w:t>
      </w:r>
      <w:r w:rsidRPr="00E876C0">
        <w:rPr>
          <w:rFonts w:ascii="Gill Sans MT" w:hAnsi="Gill Sans MT" w:cstheme="minorHAnsi"/>
        </w:rPr>
        <w:t>2013</w:t>
      </w:r>
      <w:r>
        <w:rPr>
          <w:rFonts w:ascii="Gill Sans MT" w:hAnsi="Gill Sans MT" w:cstheme="minorHAnsi"/>
        </w:rPr>
        <w:t xml:space="preserve">, </w:t>
      </w:r>
      <w:r w:rsidR="00A205DB">
        <w:rPr>
          <w:rFonts w:ascii="Gill Sans MT" w:hAnsi="Gill Sans MT" w:cstheme="minorHAnsi"/>
        </w:rPr>
        <w:t>Save the Children in Senegal has continued to work towards alleviating the suffering of children, particularly vulnerable children, in Senegal and other c</w:t>
      </w:r>
      <w:r w:rsidR="00D719D8">
        <w:rPr>
          <w:rFonts w:ascii="Gill Sans MT" w:hAnsi="Gill Sans MT" w:cstheme="minorHAnsi"/>
        </w:rPr>
        <w:t>ountries of West Africa. With a 2013</w:t>
      </w:r>
      <w:r w:rsidR="009250E4">
        <w:rPr>
          <w:rFonts w:ascii="Gill Sans MT" w:hAnsi="Gill Sans MT" w:cstheme="minorHAnsi"/>
        </w:rPr>
        <w:t xml:space="preserve"> annual spend of USD </w:t>
      </w:r>
      <w:r w:rsidR="009250E4" w:rsidRPr="006820EB">
        <w:rPr>
          <w:rFonts w:ascii="Gill Sans MT" w:hAnsi="Gill Sans MT" w:cstheme="minorHAnsi"/>
        </w:rPr>
        <w:t>4</w:t>
      </w:r>
      <w:r w:rsidR="0002488D">
        <w:rPr>
          <w:rFonts w:ascii="Gill Sans MT" w:hAnsi="Gill Sans MT" w:cstheme="minorHAnsi"/>
        </w:rPr>
        <w:t>.7</w:t>
      </w:r>
      <w:r w:rsidR="00CA424F">
        <w:rPr>
          <w:rFonts w:ascii="Gill Sans MT" w:hAnsi="Gill Sans MT" w:cstheme="minorHAnsi"/>
        </w:rPr>
        <w:t xml:space="preserve"> Million</w:t>
      </w:r>
      <w:r w:rsidR="00A205DB">
        <w:rPr>
          <w:rFonts w:ascii="Gill Sans MT" w:hAnsi="Gill Sans MT" w:cstheme="minorHAnsi"/>
        </w:rPr>
        <w:t xml:space="preserve">, we </w:t>
      </w:r>
      <w:r w:rsidR="00D719D8">
        <w:rPr>
          <w:rFonts w:ascii="Gill Sans MT" w:hAnsi="Gill Sans MT" w:cstheme="minorHAnsi"/>
        </w:rPr>
        <w:t xml:space="preserve">supported </w:t>
      </w:r>
      <w:r w:rsidR="00A205DB">
        <w:rPr>
          <w:rFonts w:ascii="Gill Sans MT" w:hAnsi="Gill Sans MT" w:cstheme="minorHAnsi"/>
        </w:rPr>
        <w:t>child protection</w:t>
      </w:r>
      <w:r w:rsidR="00CA424F">
        <w:rPr>
          <w:rFonts w:ascii="Gill Sans MT" w:hAnsi="Gill Sans MT" w:cstheme="minorHAnsi"/>
        </w:rPr>
        <w:t xml:space="preserve"> (CP</w:t>
      </w:r>
      <w:r w:rsidR="00D719D8">
        <w:rPr>
          <w:rFonts w:ascii="Gill Sans MT" w:hAnsi="Gill Sans MT" w:cstheme="minorHAnsi"/>
        </w:rPr>
        <w:t>)</w:t>
      </w:r>
      <w:r w:rsidR="00A205DB">
        <w:rPr>
          <w:rFonts w:ascii="Gill Sans MT" w:hAnsi="Gill Sans MT" w:cstheme="minorHAnsi"/>
        </w:rPr>
        <w:t xml:space="preserve">, child rights governance </w:t>
      </w:r>
      <w:r w:rsidR="00CA424F">
        <w:rPr>
          <w:rFonts w:ascii="Gill Sans MT" w:hAnsi="Gill Sans MT" w:cstheme="minorHAnsi"/>
        </w:rPr>
        <w:t>(CRG</w:t>
      </w:r>
      <w:r w:rsidR="00D719D8">
        <w:rPr>
          <w:rFonts w:ascii="Gill Sans MT" w:hAnsi="Gill Sans MT" w:cstheme="minorHAnsi"/>
        </w:rPr>
        <w:t xml:space="preserve">) </w:t>
      </w:r>
      <w:r w:rsidR="00A205DB">
        <w:rPr>
          <w:rFonts w:ascii="Gill Sans MT" w:hAnsi="Gill Sans MT" w:cstheme="minorHAnsi"/>
        </w:rPr>
        <w:t>and new born and maternal health</w:t>
      </w:r>
      <w:r w:rsidR="00D719D8">
        <w:rPr>
          <w:rFonts w:ascii="Gill Sans MT" w:hAnsi="Gill Sans MT" w:cstheme="minorHAnsi"/>
        </w:rPr>
        <w:t xml:space="preserve"> programmes</w:t>
      </w:r>
      <w:r w:rsidR="00A205DB">
        <w:rPr>
          <w:rFonts w:ascii="Gill Sans MT" w:hAnsi="Gill Sans MT" w:cstheme="minorHAnsi"/>
        </w:rPr>
        <w:t xml:space="preserve">. </w:t>
      </w:r>
    </w:p>
    <w:p w14:paraId="75BC4F1F" w14:textId="77777777" w:rsidR="00455C67" w:rsidRPr="00455C67" w:rsidRDefault="00455C67" w:rsidP="00E876C0">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lang w:val="en-US"/>
        </w:rPr>
      </w:pPr>
      <w:r w:rsidRPr="00455C67">
        <w:rPr>
          <w:rFonts w:ascii="Gill Sans MT" w:hAnsi="Gill Sans MT" w:cstheme="minorHAnsi"/>
          <w:lang w:val="en-US"/>
        </w:rPr>
        <w:t xml:space="preserve">Child protection </w:t>
      </w:r>
      <w:r w:rsidR="00D719D8">
        <w:rPr>
          <w:rFonts w:ascii="Gill Sans MT" w:hAnsi="Gill Sans MT" w:cstheme="minorHAnsi"/>
          <w:lang w:val="en-US"/>
        </w:rPr>
        <w:t xml:space="preserve">interventions cover </w:t>
      </w:r>
      <w:r w:rsidR="00AF15EA">
        <w:rPr>
          <w:rFonts w:ascii="Gill Sans MT" w:hAnsi="Gill Sans MT" w:cstheme="minorHAnsi"/>
          <w:lang w:val="en-US"/>
        </w:rPr>
        <w:t>53</w:t>
      </w:r>
      <w:r w:rsidR="00D719D8" w:rsidRPr="0002488D">
        <w:rPr>
          <w:rFonts w:ascii="Gill Sans MT" w:hAnsi="Gill Sans MT" w:cstheme="minorHAnsi"/>
          <w:lang w:val="en-US"/>
        </w:rPr>
        <w:t>%</w:t>
      </w:r>
      <w:r w:rsidR="00D719D8">
        <w:rPr>
          <w:rFonts w:ascii="Gill Sans MT" w:hAnsi="Gill Sans MT" w:cstheme="minorHAnsi"/>
          <w:lang w:val="en-US"/>
        </w:rPr>
        <w:t xml:space="preserve"> </w:t>
      </w:r>
      <w:r w:rsidRPr="00455C67">
        <w:rPr>
          <w:rFonts w:ascii="Gill Sans MT" w:hAnsi="Gill Sans MT" w:cstheme="minorHAnsi"/>
          <w:lang w:val="en-US"/>
        </w:rPr>
        <w:t>of Save the Children in Senegal</w:t>
      </w:r>
      <w:r w:rsidR="00D719D8">
        <w:rPr>
          <w:rFonts w:ascii="Gill Sans MT" w:hAnsi="Gill Sans MT" w:cstheme="minorHAnsi"/>
          <w:lang w:val="en-US"/>
        </w:rPr>
        <w:t xml:space="preserve">’s </w:t>
      </w:r>
      <w:r w:rsidR="00E32EBF">
        <w:rPr>
          <w:rFonts w:ascii="Gill Sans MT" w:hAnsi="Gill Sans MT" w:cstheme="minorHAnsi"/>
          <w:lang w:val="en-US"/>
        </w:rPr>
        <w:t>spend</w:t>
      </w:r>
      <w:r w:rsidRPr="00455C67">
        <w:rPr>
          <w:rFonts w:ascii="Gill Sans MT" w:hAnsi="Gill Sans MT" w:cstheme="minorHAnsi"/>
          <w:lang w:val="en-US"/>
        </w:rPr>
        <w:t>, followed by child rights governance</w:t>
      </w:r>
      <w:r w:rsidR="00D719D8">
        <w:rPr>
          <w:rFonts w:ascii="Gill Sans MT" w:hAnsi="Gill Sans MT" w:cstheme="minorHAnsi"/>
          <w:lang w:val="en-US"/>
        </w:rPr>
        <w:t xml:space="preserve"> </w:t>
      </w:r>
      <w:r w:rsidR="0002488D">
        <w:rPr>
          <w:rFonts w:ascii="Gill Sans MT" w:hAnsi="Gill Sans MT" w:cstheme="minorHAnsi"/>
          <w:lang w:val="en-US"/>
        </w:rPr>
        <w:t>(16</w:t>
      </w:r>
      <w:r w:rsidR="00D719D8" w:rsidRPr="0002488D">
        <w:rPr>
          <w:rFonts w:ascii="Gill Sans MT" w:hAnsi="Gill Sans MT" w:cstheme="minorHAnsi"/>
          <w:lang w:val="en-US"/>
        </w:rPr>
        <w:t>%)</w:t>
      </w:r>
      <w:r w:rsidR="00D719D8">
        <w:rPr>
          <w:rFonts w:ascii="Gill Sans MT" w:hAnsi="Gill Sans MT" w:cstheme="minorHAnsi"/>
          <w:lang w:val="en-US"/>
        </w:rPr>
        <w:t xml:space="preserve"> </w:t>
      </w:r>
      <w:r w:rsidRPr="00455C67">
        <w:rPr>
          <w:rFonts w:ascii="Gill Sans MT" w:hAnsi="Gill Sans MT" w:cstheme="minorHAnsi"/>
          <w:lang w:val="en-US"/>
        </w:rPr>
        <w:t>and health</w:t>
      </w:r>
      <w:r w:rsidR="00C67D2C">
        <w:rPr>
          <w:rFonts w:ascii="Gill Sans MT" w:hAnsi="Gill Sans MT" w:cstheme="minorHAnsi"/>
          <w:lang w:val="en-US"/>
        </w:rPr>
        <w:t xml:space="preserve"> </w:t>
      </w:r>
      <w:r w:rsidR="0002488D">
        <w:rPr>
          <w:rFonts w:ascii="Gill Sans MT" w:hAnsi="Gill Sans MT" w:cstheme="minorHAnsi"/>
          <w:lang w:val="en-US"/>
        </w:rPr>
        <w:t>(3</w:t>
      </w:r>
      <w:r w:rsidR="00C67D2C" w:rsidRPr="0002488D">
        <w:rPr>
          <w:rFonts w:ascii="Gill Sans MT" w:hAnsi="Gill Sans MT" w:cstheme="minorHAnsi"/>
          <w:lang w:val="en-US"/>
        </w:rPr>
        <w:t>%)</w:t>
      </w:r>
      <w:r w:rsidRPr="0002488D">
        <w:rPr>
          <w:rFonts w:ascii="Gill Sans MT" w:hAnsi="Gill Sans MT" w:cstheme="minorHAnsi"/>
          <w:lang w:val="en-US"/>
        </w:rPr>
        <w:t>.</w:t>
      </w:r>
      <w:r w:rsidRPr="00455C67">
        <w:rPr>
          <w:rFonts w:ascii="Gill Sans MT" w:hAnsi="Gill Sans MT" w:cstheme="minorHAnsi"/>
          <w:lang w:val="en-US"/>
        </w:rPr>
        <w:t xml:space="preserve"> Overall, the program covers eight countries, with a focus on Senegal and </w:t>
      </w:r>
      <w:r w:rsidR="00E876C0">
        <w:rPr>
          <w:rFonts w:ascii="Gill Sans MT" w:hAnsi="Gill Sans MT" w:cstheme="minorHAnsi"/>
          <w:lang w:val="en-US"/>
        </w:rPr>
        <w:t>cross-border activities</w:t>
      </w:r>
      <w:r w:rsidRPr="00455C67">
        <w:rPr>
          <w:rFonts w:ascii="Gill Sans MT" w:hAnsi="Gill Sans MT" w:cstheme="minorHAnsi"/>
          <w:lang w:val="en-US"/>
        </w:rPr>
        <w:t>.</w:t>
      </w:r>
    </w:p>
    <w:p w14:paraId="5434426F" w14:textId="77777777" w:rsidR="00455C67" w:rsidRPr="00455C67" w:rsidRDefault="00455C67" w:rsidP="00E876C0">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lang w:val="en-US"/>
        </w:rPr>
      </w:pPr>
      <w:r w:rsidRPr="00455C67">
        <w:rPr>
          <w:rFonts w:ascii="Gill Sans MT" w:hAnsi="Gill Sans MT" w:cstheme="minorHAnsi"/>
          <w:lang w:val="en-US"/>
        </w:rPr>
        <w:t xml:space="preserve">Significant successes were achieved </w:t>
      </w:r>
      <w:r w:rsidRPr="00E876C0">
        <w:rPr>
          <w:rFonts w:ascii="Gill Sans MT" w:hAnsi="Gill Sans MT" w:cstheme="minorHAnsi"/>
          <w:b/>
          <w:lang w:val="en-US"/>
        </w:rPr>
        <w:t>at the policy level</w:t>
      </w:r>
      <w:r w:rsidRPr="00455C67">
        <w:rPr>
          <w:rFonts w:ascii="Gill Sans MT" w:hAnsi="Gill Sans MT" w:cstheme="minorHAnsi"/>
          <w:lang w:val="en-US"/>
        </w:rPr>
        <w:t>. The adoption of the National Child</w:t>
      </w:r>
      <w:r w:rsidR="00A205DB">
        <w:rPr>
          <w:rFonts w:ascii="Gill Sans MT" w:hAnsi="Gill Sans MT" w:cstheme="minorHAnsi"/>
          <w:lang w:val="en-US"/>
        </w:rPr>
        <w:t xml:space="preserve"> </w:t>
      </w:r>
      <w:r w:rsidR="00805057">
        <w:rPr>
          <w:rFonts w:ascii="Gill Sans MT" w:hAnsi="Gill Sans MT" w:cstheme="minorHAnsi"/>
          <w:lang w:val="en-US"/>
        </w:rPr>
        <w:t>P</w:t>
      </w:r>
      <w:r w:rsidRPr="00455C67">
        <w:rPr>
          <w:rFonts w:ascii="Gill Sans MT" w:hAnsi="Gill Sans MT" w:cstheme="minorHAnsi"/>
          <w:lang w:val="en-US"/>
        </w:rPr>
        <w:t xml:space="preserve">rotection </w:t>
      </w:r>
      <w:r w:rsidR="00805057">
        <w:rPr>
          <w:rFonts w:ascii="Gill Sans MT" w:hAnsi="Gill Sans MT" w:cstheme="minorHAnsi"/>
          <w:lang w:val="en-US"/>
        </w:rPr>
        <w:t>S</w:t>
      </w:r>
      <w:r w:rsidRPr="00455C67">
        <w:rPr>
          <w:rFonts w:ascii="Gill Sans MT" w:hAnsi="Gill Sans MT" w:cstheme="minorHAnsi"/>
          <w:lang w:val="en-US"/>
        </w:rPr>
        <w:t xml:space="preserve">trategy by the Government of Senegal was a major step in strengthening the child protection system. The Government also recognized the role of “aines protecteurs” (youth who protect </w:t>
      </w:r>
      <w:r w:rsidRPr="00FB769D">
        <w:rPr>
          <w:rFonts w:ascii="Gill Sans MT" w:hAnsi="Gill Sans MT" w:cstheme="minorHAnsi"/>
          <w:lang w:val="en-US"/>
        </w:rPr>
        <w:t>children in their community)</w:t>
      </w:r>
      <w:r w:rsidR="00805057" w:rsidRPr="00FB769D">
        <w:rPr>
          <w:rFonts w:ascii="Gill Sans MT" w:hAnsi="Gill Sans MT" w:cstheme="minorHAnsi"/>
          <w:lang w:val="en-US"/>
        </w:rPr>
        <w:t xml:space="preserve"> </w:t>
      </w:r>
      <w:r w:rsidR="00A205DB" w:rsidRPr="00FB769D">
        <w:rPr>
          <w:rFonts w:ascii="Gill Sans MT" w:hAnsi="Gill Sans MT" w:cstheme="minorHAnsi"/>
          <w:lang w:val="en-US"/>
        </w:rPr>
        <w:t xml:space="preserve">which enables the </w:t>
      </w:r>
      <w:r w:rsidR="00112534">
        <w:rPr>
          <w:rFonts w:ascii="Gill Sans MT" w:hAnsi="Gill Sans MT" w:cstheme="minorHAnsi"/>
          <w:lang w:val="en-US"/>
        </w:rPr>
        <w:t>country office (</w:t>
      </w:r>
      <w:r w:rsidR="00A205DB" w:rsidRPr="00FB769D">
        <w:rPr>
          <w:rFonts w:ascii="Gill Sans MT" w:hAnsi="Gill Sans MT" w:cstheme="minorHAnsi"/>
          <w:lang w:val="en-US"/>
        </w:rPr>
        <w:t>CO</w:t>
      </w:r>
      <w:r w:rsidR="00112534">
        <w:rPr>
          <w:rFonts w:ascii="Gill Sans MT" w:hAnsi="Gill Sans MT" w:cstheme="minorHAnsi"/>
          <w:lang w:val="en-US"/>
        </w:rPr>
        <w:t>)</w:t>
      </w:r>
      <w:r w:rsidR="00A205DB" w:rsidRPr="00FB769D">
        <w:rPr>
          <w:rFonts w:ascii="Gill Sans MT" w:hAnsi="Gill Sans MT" w:cstheme="minorHAnsi"/>
          <w:lang w:val="en-US"/>
        </w:rPr>
        <w:t xml:space="preserve"> and its partners to strengthen even further their role as key actors of child protection at community level.</w:t>
      </w:r>
      <w:r w:rsidRPr="00FB769D">
        <w:rPr>
          <w:rFonts w:ascii="Gill Sans MT" w:hAnsi="Gill Sans MT" w:cstheme="minorHAnsi"/>
          <w:lang w:val="en-US"/>
        </w:rPr>
        <w:t xml:space="preserve"> A plan of action for a regional military program was elaborated </w:t>
      </w:r>
      <w:r w:rsidR="00FB769D" w:rsidRPr="00FB769D">
        <w:rPr>
          <w:rFonts w:ascii="Gill Sans MT" w:hAnsi="Gill Sans MT" w:cstheme="minorHAnsi"/>
          <w:lang w:val="en-US"/>
        </w:rPr>
        <w:t>to prevent violence against children in armed conflicts.</w:t>
      </w:r>
      <w:r w:rsidRPr="00FB769D">
        <w:rPr>
          <w:rFonts w:ascii="Gill Sans MT" w:hAnsi="Gill Sans MT" w:cstheme="minorHAnsi"/>
          <w:lang w:val="en-US"/>
        </w:rPr>
        <w:t xml:space="preserve"> Effective advocacy by partners led to Senegal committing to finalizing the Children’s Act and an increase</w:t>
      </w:r>
      <w:r w:rsidRPr="00455C67">
        <w:rPr>
          <w:rFonts w:ascii="Gill Sans MT" w:hAnsi="Gill Sans MT" w:cstheme="minorHAnsi"/>
          <w:lang w:val="en-US"/>
        </w:rPr>
        <w:t xml:space="preserve"> in resources for quality and equitable education</w:t>
      </w:r>
      <w:r w:rsidR="005948B3" w:rsidRPr="00455C67">
        <w:rPr>
          <w:rFonts w:ascii="Gill Sans MT" w:hAnsi="Gill Sans MT" w:cstheme="minorHAnsi"/>
          <w:lang w:val="en-US"/>
        </w:rPr>
        <w:t>; increased</w:t>
      </w:r>
      <w:r w:rsidRPr="00455C67">
        <w:rPr>
          <w:rFonts w:ascii="Gill Sans MT" w:hAnsi="Gill Sans MT" w:cstheme="minorHAnsi"/>
          <w:lang w:val="en-US"/>
        </w:rPr>
        <w:t xml:space="preserve"> public funds for coordinating responses to child issues in the Gambia; and the Governments of Guinea and Senegal submitting due reports on the C</w:t>
      </w:r>
      <w:r w:rsidR="00A205DB">
        <w:rPr>
          <w:rFonts w:ascii="Gill Sans MT" w:hAnsi="Gill Sans MT" w:cstheme="minorHAnsi"/>
          <w:lang w:val="en-US"/>
        </w:rPr>
        <w:t xml:space="preserve">onvention of the Rights of the Child </w:t>
      </w:r>
      <w:r w:rsidR="00FB769D">
        <w:rPr>
          <w:rFonts w:ascii="Gill Sans MT" w:hAnsi="Gill Sans MT" w:cstheme="minorHAnsi"/>
          <w:lang w:val="en-US"/>
        </w:rPr>
        <w:t xml:space="preserve">(CRC) </w:t>
      </w:r>
      <w:r w:rsidR="00A205DB">
        <w:rPr>
          <w:rFonts w:ascii="Gill Sans MT" w:hAnsi="Gill Sans MT" w:cstheme="minorHAnsi"/>
          <w:lang w:val="en-US"/>
        </w:rPr>
        <w:t xml:space="preserve">and the </w:t>
      </w:r>
      <w:r w:rsidR="002763F9" w:rsidRPr="002763F9">
        <w:rPr>
          <w:rFonts w:ascii="Gill Sans MT" w:hAnsi="Gill Sans MT" w:cstheme="minorHAnsi"/>
          <w:lang w:val="en-US"/>
        </w:rPr>
        <w:t>African Charter on the Rights and Welfare of the Child</w:t>
      </w:r>
      <w:r w:rsidR="002763F9">
        <w:rPr>
          <w:rFonts w:ascii="Gill Sans MT" w:hAnsi="Gill Sans MT" w:cstheme="minorHAnsi"/>
          <w:lang w:val="en-US"/>
        </w:rPr>
        <w:t xml:space="preserve"> </w:t>
      </w:r>
      <w:r w:rsidR="00FB769D">
        <w:rPr>
          <w:rFonts w:ascii="Gill Sans MT" w:hAnsi="Gill Sans MT" w:cstheme="minorHAnsi"/>
          <w:lang w:val="en-US"/>
        </w:rPr>
        <w:t>(</w:t>
      </w:r>
      <w:r w:rsidRPr="00455C67">
        <w:rPr>
          <w:rFonts w:ascii="Gill Sans MT" w:hAnsi="Gill Sans MT" w:cstheme="minorHAnsi"/>
          <w:lang w:val="en-US"/>
        </w:rPr>
        <w:t>ACRWC</w:t>
      </w:r>
      <w:r w:rsidR="00FB769D">
        <w:rPr>
          <w:rFonts w:ascii="Gill Sans MT" w:hAnsi="Gill Sans MT" w:cstheme="minorHAnsi"/>
          <w:lang w:val="en-US"/>
        </w:rPr>
        <w:t>)</w:t>
      </w:r>
      <w:r w:rsidRPr="00455C67">
        <w:rPr>
          <w:rFonts w:ascii="Gill Sans MT" w:hAnsi="Gill Sans MT" w:cstheme="minorHAnsi"/>
          <w:lang w:val="en-US"/>
        </w:rPr>
        <w:t>. Save the Children contributed to</w:t>
      </w:r>
      <w:r w:rsidR="00805057">
        <w:rPr>
          <w:rFonts w:ascii="Gill Sans MT" w:hAnsi="Gill Sans MT" w:cstheme="minorHAnsi"/>
          <w:lang w:val="en-US"/>
        </w:rPr>
        <w:t xml:space="preserve"> the</w:t>
      </w:r>
      <w:r w:rsidRPr="00455C67">
        <w:rPr>
          <w:rFonts w:ascii="Gill Sans MT" w:hAnsi="Gill Sans MT" w:cstheme="minorHAnsi"/>
          <w:lang w:val="en-US"/>
        </w:rPr>
        <w:t xml:space="preserve"> development of the free health care program for children under five in Senegal, launched in 2013, and the 5 year national strategic plan on universal health coverage.</w:t>
      </w:r>
    </w:p>
    <w:p w14:paraId="73E584FF" w14:textId="77777777" w:rsidR="00455C67" w:rsidRPr="00455C67" w:rsidRDefault="00455C67" w:rsidP="00E876C0">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lang w:val="en-US"/>
        </w:rPr>
      </w:pPr>
      <w:r w:rsidRPr="00455C67">
        <w:rPr>
          <w:rFonts w:ascii="Gill Sans MT" w:hAnsi="Gill Sans MT" w:cstheme="minorHAnsi"/>
          <w:lang w:val="en-US"/>
        </w:rPr>
        <w:t xml:space="preserve">At the level of </w:t>
      </w:r>
      <w:r w:rsidRPr="00E876C0">
        <w:rPr>
          <w:rFonts w:ascii="Gill Sans MT" w:hAnsi="Gill Sans MT" w:cstheme="minorHAnsi"/>
          <w:b/>
          <w:lang w:val="en-US"/>
        </w:rPr>
        <w:t xml:space="preserve">delivery </w:t>
      </w:r>
      <w:r w:rsidRPr="00455C67">
        <w:rPr>
          <w:rFonts w:ascii="Gill Sans MT" w:hAnsi="Gill Sans MT" w:cstheme="minorHAnsi"/>
          <w:lang w:val="en-US"/>
        </w:rPr>
        <w:t xml:space="preserve">capacity, this was strengthened through work with child protection committees, community dialogue and training of teachers, parents, and police and gendarmerie trainers. Six Child Rights Governance partners received organizational development support, which strengthened their advocacy efforts. Save the Children supported improved networking and cooperation among its partners, including </w:t>
      </w:r>
      <w:r w:rsidR="005948B3" w:rsidRPr="00455C67">
        <w:rPr>
          <w:rFonts w:ascii="Gill Sans MT" w:hAnsi="Gill Sans MT" w:cstheme="minorHAnsi"/>
          <w:lang w:val="en-US"/>
        </w:rPr>
        <w:t>work</w:t>
      </w:r>
      <w:r w:rsidR="005948B3">
        <w:rPr>
          <w:rFonts w:ascii="Gill Sans MT" w:hAnsi="Gill Sans MT" w:cstheme="minorHAnsi"/>
          <w:lang w:val="en-US"/>
        </w:rPr>
        <w:t xml:space="preserve">ing </w:t>
      </w:r>
      <w:r w:rsidR="005948B3" w:rsidRPr="00455C67">
        <w:rPr>
          <w:rFonts w:ascii="Gill Sans MT" w:hAnsi="Gill Sans MT" w:cstheme="minorHAnsi"/>
          <w:lang w:val="en-US"/>
        </w:rPr>
        <w:t>with</w:t>
      </w:r>
      <w:r w:rsidRPr="00455C67">
        <w:rPr>
          <w:rFonts w:ascii="Gill Sans MT" w:hAnsi="Gill Sans MT" w:cstheme="minorHAnsi"/>
          <w:lang w:val="en-US"/>
        </w:rPr>
        <w:t xml:space="preserve"> </w:t>
      </w:r>
      <w:r w:rsidR="00962313">
        <w:rPr>
          <w:rFonts w:ascii="Gill Sans MT" w:hAnsi="Gill Sans MT" w:cstheme="minorHAnsi"/>
        </w:rPr>
        <w:t>t</w:t>
      </w:r>
      <w:r w:rsidR="00962313" w:rsidRPr="00962313">
        <w:rPr>
          <w:rFonts w:ascii="Gill Sans MT" w:hAnsi="Gill Sans MT" w:cstheme="minorHAnsi"/>
        </w:rPr>
        <w:t xml:space="preserve">he Economic Community of West African States (ECOWAS) </w:t>
      </w:r>
      <w:r w:rsidRPr="00455C67">
        <w:rPr>
          <w:rFonts w:ascii="Gill Sans MT" w:hAnsi="Gill Sans MT" w:cstheme="minorHAnsi"/>
          <w:lang w:val="en-US"/>
        </w:rPr>
        <w:t xml:space="preserve">and </w:t>
      </w:r>
      <w:r w:rsidR="00836A9B">
        <w:rPr>
          <w:rFonts w:ascii="Gill Sans MT" w:hAnsi="Gill Sans MT" w:cstheme="minorHAnsi"/>
          <w:lang w:val="en-US"/>
        </w:rPr>
        <w:t>the Union of West Af</w:t>
      </w:r>
      <w:r w:rsidR="002763F9">
        <w:rPr>
          <w:rFonts w:ascii="Gill Sans MT" w:hAnsi="Gill Sans MT" w:cstheme="minorHAnsi"/>
          <w:lang w:val="en-US"/>
        </w:rPr>
        <w:t>r</w:t>
      </w:r>
      <w:r w:rsidR="00836A9B">
        <w:rPr>
          <w:rFonts w:ascii="Gill Sans MT" w:hAnsi="Gill Sans MT" w:cstheme="minorHAnsi"/>
          <w:lang w:val="en-US"/>
        </w:rPr>
        <w:t>ica Coal</w:t>
      </w:r>
      <w:r w:rsidR="002763F9">
        <w:rPr>
          <w:rFonts w:ascii="Gill Sans MT" w:hAnsi="Gill Sans MT" w:cstheme="minorHAnsi"/>
          <w:lang w:val="en-US"/>
        </w:rPr>
        <w:t>i</w:t>
      </w:r>
      <w:r w:rsidR="00836A9B">
        <w:rPr>
          <w:rFonts w:ascii="Gill Sans MT" w:hAnsi="Gill Sans MT" w:cstheme="minorHAnsi"/>
          <w:lang w:val="en-US"/>
        </w:rPr>
        <w:t xml:space="preserve">tions for Child </w:t>
      </w:r>
      <w:r w:rsidR="00836A9B" w:rsidRPr="00463D70">
        <w:rPr>
          <w:rFonts w:ascii="Gill Sans MT" w:hAnsi="Gill Sans MT" w:cstheme="minorHAnsi"/>
          <w:lang w:val="en-US"/>
        </w:rPr>
        <w:t>Rights (</w:t>
      </w:r>
      <w:r w:rsidRPr="00463D70">
        <w:rPr>
          <w:rFonts w:ascii="Gill Sans MT" w:hAnsi="Gill Sans MT" w:cstheme="minorHAnsi"/>
          <w:lang w:val="en-US"/>
        </w:rPr>
        <w:t>UWAC</w:t>
      </w:r>
      <w:r w:rsidR="00836A9B" w:rsidRPr="00463D70">
        <w:rPr>
          <w:rFonts w:ascii="Gill Sans MT" w:hAnsi="Gill Sans MT" w:cstheme="minorHAnsi"/>
          <w:lang w:val="en-US"/>
        </w:rPr>
        <w:t>)</w:t>
      </w:r>
      <w:r w:rsidRPr="00463D70">
        <w:rPr>
          <w:rFonts w:ascii="Gill Sans MT" w:hAnsi="Gill Sans MT" w:cstheme="minorHAnsi"/>
          <w:lang w:val="en-US"/>
        </w:rPr>
        <w:t>.</w:t>
      </w:r>
      <w:r w:rsidRPr="00455C67">
        <w:rPr>
          <w:rFonts w:ascii="Gill Sans MT" w:hAnsi="Gill Sans MT" w:cstheme="minorHAnsi"/>
          <w:lang w:val="en-US"/>
        </w:rPr>
        <w:t xml:space="preserve"> In Senegal, 48 health centres were upgraded, 23 villages benefit from improved waste collection and an innovative and more efficient approach was developed to train health workers.</w:t>
      </w:r>
    </w:p>
    <w:p w14:paraId="472C2153" w14:textId="77777777" w:rsidR="00455C67" w:rsidRDefault="00455C67" w:rsidP="00E876C0">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lang w:val="en-US"/>
        </w:rPr>
      </w:pPr>
      <w:r w:rsidRPr="00E876C0">
        <w:rPr>
          <w:rFonts w:ascii="Gill Sans MT" w:hAnsi="Gill Sans MT" w:cstheme="minorHAnsi"/>
          <w:b/>
          <w:lang w:val="en-US"/>
        </w:rPr>
        <w:t>Child participation</w:t>
      </w:r>
      <w:r w:rsidRPr="00455C67">
        <w:rPr>
          <w:rFonts w:ascii="Gill Sans MT" w:hAnsi="Gill Sans MT" w:cstheme="minorHAnsi"/>
          <w:lang w:val="en-US"/>
        </w:rPr>
        <w:t xml:space="preserve"> improved considerably across the board. Children have actively participated in prevention and monitoring of violence against children, through child-led initiatives and support to the Africa Movement of Working Children. In Senegal, Togo, Guinea and the Gambia partners now meet several key SCI participation standards.</w:t>
      </w:r>
    </w:p>
    <w:p w14:paraId="03073C35" w14:textId="77777777" w:rsidR="00372A4B" w:rsidRPr="00455C67" w:rsidRDefault="00372A4B" w:rsidP="00E876C0">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lang w:val="en-US"/>
        </w:rPr>
      </w:pPr>
    </w:p>
    <w:p w14:paraId="479D6291" w14:textId="77777777" w:rsidR="007506B1" w:rsidRDefault="00447E06" w:rsidP="00E876C0">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lang w:val="en-US"/>
        </w:rPr>
      </w:pPr>
      <w:r w:rsidRPr="00204A7B">
        <w:rPr>
          <w:rFonts w:ascii="Gill Sans MT" w:hAnsi="Gill Sans MT" w:cstheme="minorHAnsi"/>
          <w:b/>
          <w:lang w:val="en-US"/>
        </w:rPr>
        <w:t xml:space="preserve">In 2013, </w:t>
      </w:r>
      <w:r w:rsidR="00455C67" w:rsidRPr="00204A7B">
        <w:rPr>
          <w:rFonts w:ascii="Gill Sans MT" w:hAnsi="Gill Sans MT" w:cstheme="minorHAnsi"/>
          <w:b/>
          <w:lang w:val="en-US"/>
        </w:rPr>
        <w:t>Save the Childre</w:t>
      </w:r>
      <w:r w:rsidRPr="00204A7B">
        <w:rPr>
          <w:rFonts w:ascii="Gill Sans MT" w:hAnsi="Gill Sans MT" w:cstheme="minorHAnsi"/>
          <w:b/>
          <w:lang w:val="en-US"/>
        </w:rPr>
        <w:t>n in Senegal a</w:t>
      </w:r>
      <w:r w:rsidR="00455C67" w:rsidRPr="00204A7B">
        <w:rPr>
          <w:rFonts w:ascii="Gill Sans MT" w:hAnsi="Gill Sans MT" w:cstheme="minorHAnsi"/>
          <w:b/>
          <w:lang w:val="en-US"/>
        </w:rPr>
        <w:t xml:space="preserve">nd its partners </w:t>
      </w:r>
      <w:r w:rsidR="00BD0EA1">
        <w:rPr>
          <w:rFonts w:ascii="Gill Sans MT" w:hAnsi="Gill Sans MT" w:cstheme="minorHAnsi"/>
          <w:b/>
          <w:lang w:val="en-US"/>
        </w:rPr>
        <w:t xml:space="preserve">directly </w:t>
      </w:r>
      <w:r w:rsidR="00455C67" w:rsidRPr="00204A7B">
        <w:rPr>
          <w:rFonts w:ascii="Gill Sans MT" w:hAnsi="Gill Sans MT" w:cstheme="minorHAnsi"/>
          <w:b/>
          <w:lang w:val="en-US"/>
        </w:rPr>
        <w:t xml:space="preserve">reached </w:t>
      </w:r>
      <w:r w:rsidRPr="00204A7B">
        <w:rPr>
          <w:rFonts w:ascii="Gill Sans MT" w:hAnsi="Gill Sans MT" w:cstheme="minorHAnsi"/>
          <w:b/>
          <w:lang w:val="en-US"/>
        </w:rPr>
        <w:t>more than 304,000 children</w:t>
      </w:r>
      <w:r w:rsidR="00BD0EA1">
        <w:rPr>
          <w:rFonts w:ascii="Gill Sans MT" w:hAnsi="Gill Sans MT" w:cstheme="minorHAnsi"/>
          <w:b/>
          <w:lang w:val="en-US"/>
        </w:rPr>
        <w:t xml:space="preserve"> and adults</w:t>
      </w:r>
      <w:r w:rsidRPr="00204A7B">
        <w:rPr>
          <w:rFonts w:ascii="Gill Sans MT" w:hAnsi="Gill Sans MT" w:cstheme="minorHAnsi"/>
          <w:b/>
          <w:lang w:val="en-US"/>
        </w:rPr>
        <w:t>:</w:t>
      </w:r>
      <w:r>
        <w:rPr>
          <w:rFonts w:ascii="Gill Sans MT" w:hAnsi="Gill Sans MT" w:cstheme="minorHAnsi"/>
          <w:lang w:val="en-US"/>
        </w:rPr>
        <w:t xml:space="preserve"> more than 278,000 </w:t>
      </w:r>
      <w:r w:rsidR="00E876C0">
        <w:rPr>
          <w:rFonts w:ascii="Gill Sans MT" w:hAnsi="Gill Sans MT" w:cstheme="minorHAnsi"/>
          <w:lang w:val="en-US"/>
        </w:rPr>
        <w:t>through its protection</w:t>
      </w:r>
      <w:r>
        <w:rPr>
          <w:rFonts w:ascii="Gill Sans MT" w:hAnsi="Gill Sans MT" w:cstheme="minorHAnsi"/>
          <w:lang w:val="en-US"/>
        </w:rPr>
        <w:t xml:space="preserve"> </w:t>
      </w:r>
      <w:r w:rsidR="002D223E">
        <w:rPr>
          <w:rFonts w:ascii="Gill Sans MT" w:hAnsi="Gill Sans MT" w:cstheme="minorHAnsi"/>
          <w:lang w:val="en-US"/>
        </w:rPr>
        <w:t xml:space="preserve">programme </w:t>
      </w:r>
      <w:r>
        <w:rPr>
          <w:rFonts w:ascii="Gill Sans MT" w:hAnsi="Gill Sans MT" w:cstheme="minorHAnsi"/>
          <w:lang w:val="en-US"/>
        </w:rPr>
        <w:t xml:space="preserve">alone, nearly 10,000 </w:t>
      </w:r>
      <w:r w:rsidR="00BD0EA1">
        <w:rPr>
          <w:rFonts w:ascii="Gill Sans MT" w:hAnsi="Gill Sans MT" w:cstheme="minorHAnsi"/>
          <w:lang w:val="en-US"/>
        </w:rPr>
        <w:t>people</w:t>
      </w:r>
      <w:r>
        <w:rPr>
          <w:rFonts w:ascii="Gill Sans MT" w:hAnsi="Gill Sans MT" w:cstheme="minorHAnsi"/>
          <w:lang w:val="en-US"/>
        </w:rPr>
        <w:t xml:space="preserve"> through its</w:t>
      </w:r>
      <w:r w:rsidR="00E876C0">
        <w:rPr>
          <w:rFonts w:ascii="Gill Sans MT" w:hAnsi="Gill Sans MT" w:cstheme="minorHAnsi"/>
          <w:lang w:val="en-US"/>
        </w:rPr>
        <w:t xml:space="preserve"> CRG programme</w:t>
      </w:r>
      <w:r w:rsidR="00455C67" w:rsidRPr="00455C67">
        <w:rPr>
          <w:rFonts w:ascii="Gill Sans MT" w:hAnsi="Gill Sans MT" w:cstheme="minorHAnsi"/>
          <w:lang w:val="en-US"/>
        </w:rPr>
        <w:t>, whilst its health program benefitted an estimated</w:t>
      </w:r>
      <w:r>
        <w:rPr>
          <w:rFonts w:ascii="Gill Sans MT" w:hAnsi="Gill Sans MT" w:cstheme="minorHAnsi"/>
          <w:lang w:val="en-US"/>
        </w:rPr>
        <w:t xml:space="preserve"> 16,500</w:t>
      </w:r>
      <w:r w:rsidR="00455C67" w:rsidRPr="00455C67">
        <w:rPr>
          <w:rFonts w:ascii="Gill Sans MT" w:hAnsi="Gill Sans MT" w:cstheme="minorHAnsi"/>
          <w:lang w:val="en-US"/>
        </w:rPr>
        <w:t xml:space="preserve"> </w:t>
      </w:r>
      <w:r w:rsidR="00BD0EA1">
        <w:rPr>
          <w:rFonts w:ascii="Gill Sans MT" w:hAnsi="Gill Sans MT" w:cstheme="minorHAnsi"/>
          <w:lang w:val="en-US"/>
        </w:rPr>
        <w:t>women, men, and children</w:t>
      </w:r>
      <w:r w:rsidR="00455C67" w:rsidRPr="00455C67">
        <w:rPr>
          <w:rFonts w:ascii="Gill Sans MT" w:hAnsi="Gill Sans MT" w:cstheme="minorHAnsi"/>
          <w:lang w:val="en-US"/>
        </w:rPr>
        <w:t>.</w:t>
      </w:r>
      <w:r>
        <w:rPr>
          <w:rFonts w:ascii="Gill Sans MT" w:hAnsi="Gill Sans MT" w:cstheme="minorHAnsi"/>
          <w:lang w:val="en-US"/>
        </w:rPr>
        <w:t xml:space="preserve"> </w:t>
      </w:r>
    </w:p>
    <w:p w14:paraId="7BDB400C" w14:textId="77777777" w:rsidR="00A205DB" w:rsidRPr="00E876C0" w:rsidRDefault="00455C67" w:rsidP="00A205DB">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455C67">
        <w:rPr>
          <w:rFonts w:ascii="Gill Sans MT" w:hAnsi="Gill Sans MT" w:cstheme="minorHAnsi"/>
          <w:lang w:val="en-US"/>
        </w:rPr>
        <w:t xml:space="preserve">The above successes were achieved in spite of frequent leadership changes and staff shortages in the difficult </w:t>
      </w:r>
      <w:r w:rsidR="00805057">
        <w:rPr>
          <w:rFonts w:ascii="Gill Sans MT" w:hAnsi="Gill Sans MT" w:cstheme="minorHAnsi"/>
          <w:lang w:val="en-US"/>
        </w:rPr>
        <w:t>post-</w:t>
      </w:r>
      <w:r w:rsidRPr="00455C67">
        <w:rPr>
          <w:rFonts w:ascii="Gill Sans MT" w:hAnsi="Gill Sans MT" w:cstheme="minorHAnsi"/>
          <w:lang w:val="en-US"/>
        </w:rPr>
        <w:t>transition period</w:t>
      </w:r>
      <w:r w:rsidR="00805057">
        <w:rPr>
          <w:rFonts w:ascii="Gill Sans MT" w:hAnsi="Gill Sans MT" w:cstheme="minorHAnsi"/>
          <w:lang w:val="en-US"/>
        </w:rPr>
        <w:t xml:space="preserve">. </w:t>
      </w:r>
      <w:r w:rsidR="00A205DB">
        <w:rPr>
          <w:rFonts w:ascii="Gill Sans MT" w:hAnsi="Gill Sans MT" w:cstheme="minorHAnsi"/>
        </w:rPr>
        <w:t>The</w:t>
      </w:r>
      <w:r w:rsidR="00A205DB" w:rsidRPr="00E876C0">
        <w:rPr>
          <w:rFonts w:ascii="Gill Sans MT" w:hAnsi="Gill Sans MT" w:cstheme="minorHAnsi"/>
        </w:rPr>
        <w:t xml:space="preserve"> overall performance </w:t>
      </w:r>
      <w:r w:rsidR="00A205DB">
        <w:rPr>
          <w:rFonts w:ascii="Gill Sans MT" w:hAnsi="Gill Sans MT" w:cstheme="minorHAnsi"/>
        </w:rPr>
        <w:t xml:space="preserve">of Save the Children in Senegal </w:t>
      </w:r>
      <w:r w:rsidR="00A205DB" w:rsidRPr="00E876C0">
        <w:rPr>
          <w:rFonts w:ascii="Gill Sans MT" w:hAnsi="Gill Sans MT" w:cstheme="minorHAnsi"/>
        </w:rPr>
        <w:t xml:space="preserve">reaches </w:t>
      </w:r>
      <w:r w:rsidR="0002488D" w:rsidRPr="0002488D">
        <w:rPr>
          <w:rFonts w:ascii="Gill Sans MT" w:hAnsi="Gill Sans MT" w:cstheme="minorHAnsi"/>
        </w:rPr>
        <w:t>85</w:t>
      </w:r>
      <w:r w:rsidR="00A205DB" w:rsidRPr="0002488D">
        <w:rPr>
          <w:rFonts w:ascii="Gill Sans MT" w:hAnsi="Gill Sans MT" w:cstheme="minorHAnsi"/>
        </w:rPr>
        <w:t>%</w:t>
      </w:r>
      <w:r w:rsidR="00A205DB" w:rsidRPr="00E876C0">
        <w:rPr>
          <w:rFonts w:ascii="Gill Sans MT" w:hAnsi="Gill Sans MT" w:cstheme="minorHAnsi"/>
        </w:rPr>
        <w:t xml:space="preserve"> spending representing </w:t>
      </w:r>
      <w:r w:rsidR="00A205DB" w:rsidRPr="0002488D">
        <w:rPr>
          <w:rFonts w:ascii="Gill Sans MT" w:hAnsi="Gill Sans MT" w:cstheme="minorHAnsi"/>
        </w:rPr>
        <w:t xml:space="preserve">USD </w:t>
      </w:r>
      <w:r w:rsidR="0002488D">
        <w:rPr>
          <w:rFonts w:ascii="Gill Sans MT" w:hAnsi="Gill Sans MT" w:cstheme="minorHAnsi"/>
        </w:rPr>
        <w:t>4.7</w:t>
      </w:r>
      <w:r w:rsidR="00A205DB" w:rsidRPr="0002488D">
        <w:rPr>
          <w:rFonts w:ascii="Gill Sans MT" w:hAnsi="Gill Sans MT" w:cstheme="minorHAnsi"/>
        </w:rPr>
        <w:t xml:space="preserve"> million</w:t>
      </w:r>
      <w:r w:rsidR="00A205DB" w:rsidRPr="00E876C0">
        <w:rPr>
          <w:rFonts w:ascii="Gill Sans MT" w:hAnsi="Gill Sans MT" w:cstheme="minorHAnsi"/>
        </w:rPr>
        <w:t xml:space="preserve"> compared to the </w:t>
      </w:r>
      <w:r w:rsidR="00973FD3">
        <w:rPr>
          <w:rFonts w:ascii="Gill Sans MT" w:hAnsi="Gill Sans MT" w:cstheme="minorHAnsi"/>
        </w:rPr>
        <w:t>2013 2</w:t>
      </w:r>
      <w:r w:rsidR="00973FD3" w:rsidRPr="00973FD3">
        <w:rPr>
          <w:rFonts w:ascii="Gill Sans MT" w:hAnsi="Gill Sans MT" w:cstheme="minorHAnsi"/>
          <w:vertAlign w:val="superscript"/>
        </w:rPr>
        <w:t>nd</w:t>
      </w:r>
      <w:r w:rsidR="00973FD3">
        <w:rPr>
          <w:rFonts w:ascii="Gill Sans MT" w:hAnsi="Gill Sans MT" w:cstheme="minorHAnsi"/>
        </w:rPr>
        <w:t xml:space="preserve"> Forecast </w:t>
      </w:r>
      <w:r w:rsidR="00A205DB" w:rsidRPr="0002488D">
        <w:rPr>
          <w:rFonts w:ascii="Gill Sans MT" w:hAnsi="Gill Sans MT" w:cstheme="minorHAnsi"/>
        </w:rPr>
        <w:lastRenderedPageBreak/>
        <w:t xml:space="preserve">budget of USD </w:t>
      </w:r>
      <w:r w:rsidR="00973FD3" w:rsidRPr="0002488D">
        <w:rPr>
          <w:rFonts w:ascii="Gill Sans MT" w:hAnsi="Gill Sans MT" w:cstheme="minorHAnsi"/>
        </w:rPr>
        <w:t>5.5</w:t>
      </w:r>
      <w:r w:rsidR="00A205DB" w:rsidRPr="0002488D">
        <w:rPr>
          <w:rFonts w:ascii="Gill Sans MT" w:hAnsi="Gill Sans MT" w:cstheme="minorHAnsi"/>
        </w:rPr>
        <w:t xml:space="preserve"> million</w:t>
      </w:r>
      <w:r w:rsidR="00A205DB" w:rsidRPr="00E876C0">
        <w:rPr>
          <w:rFonts w:ascii="Gill Sans MT" w:hAnsi="Gill Sans MT" w:cstheme="minorHAnsi"/>
        </w:rPr>
        <w:t>. Delay</w:t>
      </w:r>
      <w:r w:rsidR="0038188B">
        <w:rPr>
          <w:rFonts w:ascii="Gill Sans MT" w:hAnsi="Gill Sans MT" w:cstheme="minorHAnsi"/>
        </w:rPr>
        <w:t>s</w:t>
      </w:r>
      <w:r w:rsidR="00A205DB" w:rsidRPr="00E876C0">
        <w:rPr>
          <w:rFonts w:ascii="Gill Sans MT" w:hAnsi="Gill Sans MT" w:cstheme="minorHAnsi"/>
        </w:rPr>
        <w:t xml:space="preserve"> in </w:t>
      </w:r>
      <w:r w:rsidR="0038188B">
        <w:rPr>
          <w:rFonts w:ascii="Gill Sans MT" w:hAnsi="Gill Sans MT" w:cstheme="minorHAnsi"/>
        </w:rPr>
        <w:t xml:space="preserve">filling </w:t>
      </w:r>
      <w:r w:rsidR="00A205DB" w:rsidRPr="00E876C0">
        <w:rPr>
          <w:rFonts w:ascii="Gill Sans MT" w:hAnsi="Gill Sans MT" w:cstheme="minorHAnsi"/>
        </w:rPr>
        <w:t xml:space="preserve">key positions (CD </w:t>
      </w:r>
      <w:r w:rsidR="00A205DB">
        <w:rPr>
          <w:rFonts w:ascii="Gill Sans MT" w:hAnsi="Gill Sans MT" w:cstheme="minorHAnsi"/>
        </w:rPr>
        <w:t>and</w:t>
      </w:r>
      <w:r w:rsidR="00A205DB" w:rsidRPr="00E876C0">
        <w:rPr>
          <w:rFonts w:ascii="Gill Sans MT" w:hAnsi="Gill Sans MT" w:cstheme="minorHAnsi"/>
        </w:rPr>
        <w:t xml:space="preserve"> PDQ) </w:t>
      </w:r>
      <w:r w:rsidR="00A205DB">
        <w:rPr>
          <w:rFonts w:ascii="Gill Sans MT" w:hAnsi="Gill Sans MT" w:cstheme="minorHAnsi"/>
        </w:rPr>
        <w:t xml:space="preserve">and </w:t>
      </w:r>
      <w:r w:rsidR="0038188B">
        <w:rPr>
          <w:rFonts w:ascii="Gill Sans MT" w:hAnsi="Gill Sans MT" w:cstheme="minorHAnsi"/>
        </w:rPr>
        <w:t xml:space="preserve">delays in partner delivery </w:t>
      </w:r>
      <w:r w:rsidR="00A205DB">
        <w:rPr>
          <w:rFonts w:ascii="Gill Sans MT" w:hAnsi="Gill Sans MT" w:cstheme="minorHAnsi"/>
        </w:rPr>
        <w:t>are</w:t>
      </w:r>
      <w:r w:rsidR="00A205DB" w:rsidRPr="00E876C0">
        <w:rPr>
          <w:rFonts w:ascii="Gill Sans MT" w:hAnsi="Gill Sans MT" w:cstheme="minorHAnsi"/>
        </w:rPr>
        <w:t xml:space="preserve"> </w:t>
      </w:r>
      <w:r w:rsidR="0038188B">
        <w:rPr>
          <w:rFonts w:ascii="Gill Sans MT" w:hAnsi="Gill Sans MT" w:cstheme="minorHAnsi"/>
        </w:rPr>
        <w:t xml:space="preserve">some of </w:t>
      </w:r>
      <w:r w:rsidR="00A205DB" w:rsidRPr="00E876C0">
        <w:rPr>
          <w:rFonts w:ascii="Gill Sans MT" w:hAnsi="Gill Sans MT" w:cstheme="minorHAnsi"/>
        </w:rPr>
        <w:t xml:space="preserve">the main reasons </w:t>
      </w:r>
      <w:r w:rsidR="0038188B">
        <w:rPr>
          <w:rFonts w:ascii="Gill Sans MT" w:hAnsi="Gill Sans MT" w:cstheme="minorHAnsi"/>
        </w:rPr>
        <w:t xml:space="preserve">for a </w:t>
      </w:r>
      <w:r w:rsidR="0002488D">
        <w:rPr>
          <w:rFonts w:ascii="Gill Sans MT" w:hAnsi="Gill Sans MT" w:cstheme="minorHAnsi"/>
        </w:rPr>
        <w:t>15</w:t>
      </w:r>
      <w:r w:rsidR="0038188B">
        <w:rPr>
          <w:rFonts w:ascii="Gill Sans MT" w:hAnsi="Gill Sans MT" w:cstheme="minorHAnsi"/>
        </w:rPr>
        <w:t xml:space="preserve">% </w:t>
      </w:r>
      <w:r w:rsidR="00A205DB" w:rsidRPr="00E876C0">
        <w:rPr>
          <w:rFonts w:ascii="Gill Sans MT" w:hAnsi="Gill Sans MT" w:cstheme="minorHAnsi"/>
        </w:rPr>
        <w:t>underspend</w:t>
      </w:r>
      <w:r w:rsidR="0038188B">
        <w:rPr>
          <w:rFonts w:ascii="Gill Sans MT" w:hAnsi="Gill Sans MT" w:cstheme="minorHAnsi"/>
        </w:rPr>
        <w:t xml:space="preserve"> in 2013</w:t>
      </w:r>
      <w:r w:rsidR="00A205DB" w:rsidRPr="00E876C0">
        <w:rPr>
          <w:rFonts w:ascii="Gill Sans MT" w:hAnsi="Gill Sans MT" w:cstheme="minorHAnsi"/>
        </w:rPr>
        <w:t>.</w:t>
      </w:r>
      <w:r w:rsidR="0038188B">
        <w:rPr>
          <w:rFonts w:ascii="Gill Sans MT" w:hAnsi="Gill Sans MT" w:cstheme="minorHAnsi"/>
        </w:rPr>
        <w:t xml:space="preserve"> </w:t>
      </w:r>
      <w:r w:rsidR="00973FD3" w:rsidRPr="0002488D">
        <w:rPr>
          <w:rFonts w:ascii="Gill Sans MT" w:hAnsi="Gill Sans MT" w:cstheme="minorHAnsi"/>
        </w:rPr>
        <w:t>Three months</w:t>
      </w:r>
      <w:r w:rsidR="00973FD3">
        <w:rPr>
          <w:rFonts w:ascii="Gill Sans MT" w:hAnsi="Gill Sans MT" w:cstheme="minorHAnsi"/>
        </w:rPr>
        <w:t xml:space="preserve"> n</w:t>
      </w:r>
      <w:r w:rsidR="0038188B">
        <w:rPr>
          <w:rFonts w:ascii="Gill Sans MT" w:hAnsi="Gill Sans MT" w:cstheme="minorHAnsi"/>
        </w:rPr>
        <w:t>o-cost extensions have been agreed in 2014 to complete uncompleted activities by the end of December 2013.</w:t>
      </w:r>
      <w:r w:rsidR="00A205DB">
        <w:rPr>
          <w:rFonts w:ascii="Gill Sans MT" w:hAnsi="Gill Sans MT" w:cstheme="minorHAnsi"/>
        </w:rPr>
        <w:t xml:space="preserve"> </w:t>
      </w:r>
    </w:p>
    <w:p w14:paraId="2535085E" w14:textId="77777777" w:rsidR="00455C67" w:rsidRDefault="0038188B" w:rsidP="00E876C0">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lang w:val="en-US"/>
        </w:rPr>
      </w:pPr>
      <w:r>
        <w:rPr>
          <w:rFonts w:ascii="Gill Sans MT" w:hAnsi="Gill Sans MT" w:cstheme="minorHAnsi"/>
          <w:lang w:val="en-US"/>
        </w:rPr>
        <w:t xml:space="preserve">Post-transition resulted in </w:t>
      </w:r>
      <w:r w:rsidR="00FB769D">
        <w:rPr>
          <w:rFonts w:ascii="Gill Sans MT" w:hAnsi="Gill Sans MT" w:cstheme="minorHAnsi"/>
          <w:lang w:val="en-US"/>
        </w:rPr>
        <w:t>c</w:t>
      </w:r>
      <w:r>
        <w:rPr>
          <w:rFonts w:ascii="Gill Sans MT" w:hAnsi="Gill Sans MT" w:cstheme="minorHAnsi"/>
          <w:lang w:val="en-US"/>
        </w:rPr>
        <w:t>onsiderable effort in</w:t>
      </w:r>
      <w:r w:rsidR="00455C67" w:rsidRPr="00455C67">
        <w:rPr>
          <w:rFonts w:ascii="Gill Sans MT" w:hAnsi="Gill Sans MT" w:cstheme="minorHAnsi"/>
          <w:lang w:val="en-US"/>
        </w:rPr>
        <w:t xml:space="preserve"> explaining new ways of working to</w:t>
      </w:r>
      <w:r>
        <w:rPr>
          <w:rFonts w:ascii="Gill Sans MT" w:hAnsi="Gill Sans MT" w:cstheme="minorHAnsi"/>
          <w:lang w:val="en-US"/>
        </w:rPr>
        <w:t xml:space="preserve"> staff and then participating</w:t>
      </w:r>
      <w:r w:rsidR="00455C67" w:rsidRPr="00455C67">
        <w:rPr>
          <w:rFonts w:ascii="Gill Sans MT" w:hAnsi="Gill Sans MT" w:cstheme="minorHAnsi"/>
          <w:lang w:val="en-US"/>
        </w:rPr>
        <w:t xml:space="preserve"> partners, who deliver 70% of the program </w:t>
      </w:r>
      <w:r>
        <w:rPr>
          <w:rFonts w:ascii="Gill Sans MT" w:hAnsi="Gill Sans MT" w:cstheme="minorHAnsi"/>
          <w:lang w:val="en-US"/>
        </w:rPr>
        <w:t>on our behalf.</w:t>
      </w:r>
      <w:r w:rsidR="00455C67" w:rsidRPr="00455C67">
        <w:rPr>
          <w:rFonts w:ascii="Gill Sans MT" w:hAnsi="Gill Sans MT" w:cstheme="minorHAnsi"/>
          <w:lang w:val="en-US"/>
        </w:rPr>
        <w:t xml:space="preserve"> </w:t>
      </w:r>
      <w:r>
        <w:rPr>
          <w:rFonts w:ascii="Gill Sans MT" w:hAnsi="Gill Sans MT" w:cstheme="minorHAnsi"/>
          <w:lang w:val="en-US"/>
        </w:rPr>
        <w:t xml:space="preserve">There are still areas of improvement in the area of strengthening partner oversight and internal controls. Save the children Senegal completed its </w:t>
      </w:r>
      <w:r w:rsidR="00455C67" w:rsidRPr="00455C67">
        <w:rPr>
          <w:rFonts w:ascii="Gill Sans MT" w:hAnsi="Gill Sans MT" w:cstheme="minorHAnsi"/>
          <w:lang w:val="en-US"/>
        </w:rPr>
        <w:t>Country Strategic Plan and</w:t>
      </w:r>
      <w:r w:rsidR="00805057">
        <w:rPr>
          <w:rFonts w:ascii="Gill Sans MT" w:hAnsi="Gill Sans MT" w:cstheme="minorHAnsi"/>
          <w:lang w:val="en-US"/>
        </w:rPr>
        <w:t xml:space="preserve"> Country </w:t>
      </w:r>
      <w:r>
        <w:rPr>
          <w:rFonts w:ascii="Gill Sans MT" w:hAnsi="Gill Sans MT" w:cstheme="minorHAnsi"/>
          <w:lang w:val="en-US"/>
        </w:rPr>
        <w:t xml:space="preserve">2014 </w:t>
      </w:r>
      <w:r w:rsidR="00455C67" w:rsidRPr="00455C67">
        <w:rPr>
          <w:rFonts w:ascii="Gill Sans MT" w:hAnsi="Gill Sans MT" w:cstheme="minorHAnsi"/>
          <w:lang w:val="en-US"/>
        </w:rPr>
        <w:t>Annual Plan</w:t>
      </w:r>
      <w:r>
        <w:rPr>
          <w:rFonts w:ascii="Gill Sans MT" w:hAnsi="Gill Sans MT" w:cstheme="minorHAnsi"/>
          <w:lang w:val="en-US"/>
        </w:rPr>
        <w:t>. Key positions in the country programme have been filled now and there is demonstrated improvement and effectiveness of the senior management team.</w:t>
      </w:r>
      <w:r w:rsidR="00CF12C3">
        <w:rPr>
          <w:rFonts w:ascii="Gill Sans MT" w:hAnsi="Gill Sans MT" w:cstheme="minorHAnsi"/>
          <w:lang w:val="en-US"/>
        </w:rPr>
        <w:t xml:space="preserve"> The focus for 2014 will be on strengthening our oversight while empowering our partners more.</w:t>
      </w:r>
    </w:p>
    <w:p w14:paraId="7E8EC94C" w14:textId="77777777" w:rsidR="00A205DB" w:rsidRPr="00A205DB" w:rsidRDefault="00A205DB" w:rsidP="00E876C0">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p>
    <w:p w14:paraId="46CD6FEE" w14:textId="77777777" w:rsidR="00455C67" w:rsidRPr="00455C67" w:rsidRDefault="00455C67" w:rsidP="00455C67">
      <w:pPr>
        <w:pBdr>
          <w:top w:val="single" w:sz="4" w:space="1" w:color="auto"/>
          <w:left w:val="single" w:sz="4" w:space="4" w:color="auto"/>
          <w:bottom w:val="single" w:sz="4" w:space="31" w:color="auto"/>
          <w:right w:val="single" w:sz="4" w:space="4" w:color="auto"/>
        </w:pBdr>
        <w:spacing w:after="120"/>
        <w:rPr>
          <w:rFonts w:ascii="Gill Sans MT" w:hAnsi="Gill Sans MT" w:cstheme="minorHAnsi"/>
          <w:i/>
          <w:lang w:val="en-US"/>
        </w:rPr>
      </w:pPr>
      <w:r w:rsidRPr="00E876C0">
        <w:rPr>
          <w:rFonts w:ascii="Gill Sans MT" w:hAnsi="Gill Sans MT" w:cstheme="minorHAnsi"/>
          <w:b/>
          <w:lang w:val="en-US"/>
        </w:rPr>
        <w:t>Key lessons learned</w:t>
      </w:r>
      <w:r w:rsidRPr="00455C67">
        <w:rPr>
          <w:rFonts w:ascii="Gill Sans MT" w:hAnsi="Gill Sans MT" w:cstheme="minorHAnsi"/>
          <w:lang w:val="en-US"/>
        </w:rPr>
        <w:t xml:space="preserve"> include:</w:t>
      </w:r>
    </w:p>
    <w:p w14:paraId="524BD8F3" w14:textId="77777777" w:rsidR="00455C67" w:rsidRPr="00455C67" w:rsidRDefault="00455C67" w:rsidP="00455C67">
      <w:pPr>
        <w:numPr>
          <w:ilvl w:val="0"/>
          <w:numId w:val="12"/>
        </w:numPr>
        <w:pBdr>
          <w:top w:val="single" w:sz="4" w:space="1" w:color="auto"/>
          <w:left w:val="single" w:sz="4" w:space="4" w:color="auto"/>
          <w:bottom w:val="single" w:sz="4" w:space="31" w:color="auto"/>
          <w:right w:val="single" w:sz="4" w:space="4" w:color="auto"/>
        </w:pBdr>
        <w:spacing w:after="120"/>
        <w:rPr>
          <w:rFonts w:ascii="Gill Sans MT" w:hAnsi="Gill Sans MT" w:cstheme="minorHAnsi"/>
          <w:lang w:val="en-US"/>
        </w:rPr>
      </w:pPr>
      <w:r w:rsidRPr="00455C67">
        <w:rPr>
          <w:rFonts w:ascii="Gill Sans MT" w:hAnsi="Gill Sans MT" w:cstheme="minorHAnsi"/>
          <w:lang w:val="en-US"/>
        </w:rPr>
        <w:t>Evidence-based research on children’s clubs is key in achieving the official recognition of children’s groups as actors within child protection at the national level.</w:t>
      </w:r>
    </w:p>
    <w:p w14:paraId="42CEB3CD" w14:textId="77777777" w:rsidR="00455C67" w:rsidRPr="00455C67" w:rsidRDefault="00455C67" w:rsidP="00455C67">
      <w:pPr>
        <w:numPr>
          <w:ilvl w:val="0"/>
          <w:numId w:val="12"/>
        </w:numPr>
        <w:pBdr>
          <w:top w:val="single" w:sz="4" w:space="1" w:color="auto"/>
          <w:left w:val="single" w:sz="4" w:space="4" w:color="auto"/>
          <w:bottom w:val="single" w:sz="4" w:space="31" w:color="auto"/>
          <w:right w:val="single" w:sz="4" w:space="4" w:color="auto"/>
        </w:pBdr>
        <w:spacing w:after="120"/>
        <w:rPr>
          <w:rFonts w:ascii="Gill Sans MT" w:hAnsi="Gill Sans MT" w:cstheme="minorHAnsi"/>
          <w:lang w:val="en-US"/>
        </w:rPr>
      </w:pPr>
      <w:r w:rsidRPr="00455C67">
        <w:rPr>
          <w:rFonts w:ascii="Gill Sans MT" w:hAnsi="Gill Sans MT" w:cstheme="minorHAnsi"/>
          <w:lang w:val="en-US"/>
        </w:rPr>
        <w:t xml:space="preserve">Effective integration of child rights and child protection training into the curricula of the national police and gendarmerie schools benefits from a systems-based approach, rather than </w:t>
      </w:r>
      <w:r w:rsidR="00A51C40">
        <w:rPr>
          <w:rFonts w:ascii="Gill Sans MT" w:hAnsi="Gill Sans MT" w:cstheme="minorHAnsi"/>
          <w:lang w:val="en-US"/>
        </w:rPr>
        <w:t xml:space="preserve">just </w:t>
      </w:r>
      <w:r w:rsidRPr="00455C67">
        <w:rPr>
          <w:rFonts w:ascii="Gill Sans MT" w:hAnsi="Gill Sans MT" w:cstheme="minorHAnsi"/>
          <w:lang w:val="en-US"/>
        </w:rPr>
        <w:t>focus</w:t>
      </w:r>
      <w:r w:rsidR="00A51C40">
        <w:rPr>
          <w:rFonts w:ascii="Gill Sans MT" w:hAnsi="Gill Sans MT" w:cstheme="minorHAnsi"/>
          <w:lang w:val="en-US"/>
        </w:rPr>
        <w:t xml:space="preserve">ing </w:t>
      </w:r>
      <w:r w:rsidRPr="00455C67">
        <w:rPr>
          <w:rFonts w:ascii="Gill Sans MT" w:hAnsi="Gill Sans MT" w:cstheme="minorHAnsi"/>
          <w:lang w:val="en-US"/>
        </w:rPr>
        <w:t>on key policy and decision-makers.</w:t>
      </w:r>
    </w:p>
    <w:p w14:paraId="0ED48AEE" w14:textId="77777777" w:rsidR="00455C67" w:rsidRPr="00455C67" w:rsidRDefault="00455C67" w:rsidP="00455C67">
      <w:pPr>
        <w:numPr>
          <w:ilvl w:val="0"/>
          <w:numId w:val="12"/>
        </w:numPr>
        <w:pBdr>
          <w:top w:val="single" w:sz="4" w:space="1" w:color="auto"/>
          <w:left w:val="single" w:sz="4" w:space="4" w:color="auto"/>
          <w:bottom w:val="single" w:sz="4" w:space="31" w:color="auto"/>
          <w:right w:val="single" w:sz="4" w:space="4" w:color="auto"/>
        </w:pBdr>
        <w:spacing w:after="120"/>
        <w:rPr>
          <w:rFonts w:ascii="Gill Sans MT" w:hAnsi="Gill Sans MT" w:cstheme="minorHAnsi"/>
          <w:lang w:val="en-US"/>
        </w:rPr>
      </w:pPr>
      <w:r w:rsidRPr="00455C67">
        <w:rPr>
          <w:rFonts w:ascii="Gill Sans MT" w:hAnsi="Gill Sans MT" w:cstheme="minorHAnsi"/>
          <w:lang w:val="en-US"/>
        </w:rPr>
        <w:t xml:space="preserve">The high turnover of key Ministry of Health staff </w:t>
      </w:r>
      <w:r w:rsidR="007506B1">
        <w:rPr>
          <w:rFonts w:ascii="Gill Sans MT" w:hAnsi="Gill Sans MT" w:cstheme="minorHAnsi"/>
          <w:lang w:val="en-US"/>
        </w:rPr>
        <w:t xml:space="preserve">at regional level </w:t>
      </w:r>
      <w:r w:rsidR="00973FD3">
        <w:rPr>
          <w:rFonts w:ascii="Gill Sans MT" w:hAnsi="Gill Sans MT" w:cstheme="minorHAnsi"/>
          <w:lang w:val="en-US"/>
        </w:rPr>
        <w:t>affect</w:t>
      </w:r>
      <w:r w:rsidRPr="00455C67">
        <w:rPr>
          <w:rFonts w:ascii="Gill Sans MT" w:hAnsi="Gill Sans MT" w:cstheme="minorHAnsi"/>
          <w:lang w:val="en-US"/>
        </w:rPr>
        <w:t xml:space="preserve"> delivery.   </w:t>
      </w:r>
    </w:p>
    <w:p w14:paraId="0AE27C92" w14:textId="77777777" w:rsidR="00455C67" w:rsidRPr="00455C67" w:rsidRDefault="00455C67" w:rsidP="00455C67">
      <w:pPr>
        <w:numPr>
          <w:ilvl w:val="0"/>
          <w:numId w:val="12"/>
        </w:numPr>
        <w:pBdr>
          <w:top w:val="single" w:sz="4" w:space="1" w:color="auto"/>
          <w:left w:val="single" w:sz="4" w:space="4" w:color="auto"/>
          <w:bottom w:val="single" w:sz="4" w:space="31" w:color="auto"/>
          <w:right w:val="single" w:sz="4" w:space="4" w:color="auto"/>
        </w:pBdr>
        <w:spacing w:after="120"/>
        <w:rPr>
          <w:rFonts w:ascii="Gill Sans MT" w:hAnsi="Gill Sans MT" w:cstheme="minorHAnsi"/>
          <w:lang w:val="en-US"/>
        </w:rPr>
      </w:pPr>
      <w:r w:rsidRPr="00455C67">
        <w:rPr>
          <w:rFonts w:ascii="Gill Sans MT" w:hAnsi="Gill Sans MT" w:cstheme="minorHAnsi"/>
          <w:lang w:val="en-US"/>
        </w:rPr>
        <w:t>Advocacy work is an effective means of action and can be strengthened</w:t>
      </w:r>
      <w:r w:rsidR="007506B1">
        <w:rPr>
          <w:rFonts w:ascii="Gill Sans MT" w:hAnsi="Gill Sans MT" w:cstheme="minorHAnsi"/>
          <w:lang w:val="en-US"/>
        </w:rPr>
        <w:t xml:space="preserve"> through strategic partnerships, involvement of all actors including children, flexible agenda and systematic advocacy plans. </w:t>
      </w:r>
    </w:p>
    <w:p w14:paraId="2DD191AE" w14:textId="77777777" w:rsidR="00455C67" w:rsidRPr="00455C67" w:rsidRDefault="00455C67" w:rsidP="00455C67">
      <w:pPr>
        <w:pBdr>
          <w:top w:val="single" w:sz="4" w:space="1" w:color="auto"/>
          <w:left w:val="single" w:sz="4" w:space="4" w:color="auto"/>
          <w:bottom w:val="single" w:sz="4" w:space="31" w:color="auto"/>
          <w:right w:val="single" w:sz="4" w:space="4" w:color="auto"/>
        </w:pBdr>
        <w:spacing w:after="120"/>
        <w:rPr>
          <w:rFonts w:ascii="Gill Sans MT" w:hAnsi="Gill Sans MT" w:cstheme="minorHAnsi"/>
        </w:rPr>
      </w:pPr>
    </w:p>
    <w:p w14:paraId="5BCE933B" w14:textId="77777777" w:rsidR="00110830" w:rsidRDefault="00110830" w:rsidP="00110830">
      <w:pPr>
        <w:pStyle w:val="ListParagraph"/>
        <w:ind w:left="284"/>
        <w:jc w:val="both"/>
        <w:rPr>
          <w:rFonts w:ascii="Gill Sans MT" w:hAnsi="Gill Sans MT" w:cstheme="minorHAnsi"/>
          <w:b/>
        </w:rPr>
      </w:pPr>
    </w:p>
    <w:p w14:paraId="1EF3222A" w14:textId="77777777" w:rsidR="0005179D" w:rsidRDefault="0005179D" w:rsidP="00110830">
      <w:pPr>
        <w:pStyle w:val="ListParagraph"/>
        <w:ind w:left="284"/>
        <w:jc w:val="both"/>
        <w:rPr>
          <w:rFonts w:ascii="Gill Sans MT" w:hAnsi="Gill Sans MT" w:cstheme="minorHAnsi"/>
          <w:b/>
        </w:rPr>
      </w:pPr>
    </w:p>
    <w:p w14:paraId="70727607" w14:textId="77777777" w:rsidR="00112E56" w:rsidRDefault="00112E56">
      <w:pPr>
        <w:rPr>
          <w:rFonts w:ascii="Gill Sans MT" w:hAnsi="Gill Sans MT" w:cstheme="minorHAnsi"/>
          <w:b/>
        </w:rPr>
      </w:pPr>
      <w:r>
        <w:rPr>
          <w:rFonts w:ascii="Gill Sans MT" w:hAnsi="Gill Sans MT" w:cstheme="minorHAnsi"/>
          <w:b/>
        </w:rPr>
        <w:br w:type="page"/>
      </w:r>
    </w:p>
    <w:p w14:paraId="7226E366" w14:textId="77777777" w:rsidR="00D874F8" w:rsidRDefault="00606053" w:rsidP="00D6573E">
      <w:pPr>
        <w:pStyle w:val="Heading1"/>
        <w:numPr>
          <w:ilvl w:val="0"/>
          <w:numId w:val="13"/>
        </w:numPr>
      </w:pPr>
      <w:bookmarkStart w:id="2" w:name="_Toc384042243"/>
      <w:r w:rsidRPr="0085051C">
        <w:lastRenderedPageBreak/>
        <w:t>Country</w:t>
      </w:r>
      <w:r w:rsidR="00D874F8" w:rsidRPr="0085051C">
        <w:t xml:space="preserve"> </w:t>
      </w:r>
      <w:r w:rsidR="00D874F8" w:rsidRPr="00FF4116">
        <w:t>Context</w:t>
      </w:r>
      <w:bookmarkEnd w:id="2"/>
      <w:r w:rsidR="00A45469" w:rsidRPr="00FF4116">
        <w:t xml:space="preserve"> </w:t>
      </w:r>
    </w:p>
    <w:p w14:paraId="58EEBFCE" w14:textId="77777777" w:rsidR="007176A4" w:rsidRPr="00FF4116" w:rsidRDefault="007176A4" w:rsidP="007176A4">
      <w:pPr>
        <w:pStyle w:val="ListParagraph"/>
        <w:ind w:left="284"/>
        <w:jc w:val="both"/>
        <w:rPr>
          <w:rFonts w:ascii="Gill Sans MT" w:hAnsi="Gill Sans MT" w:cstheme="minorHAnsi"/>
          <w:b/>
        </w:rPr>
      </w:pPr>
    </w:p>
    <w:p w14:paraId="5A41367F" w14:textId="77777777" w:rsidR="00112E56" w:rsidRPr="00112E56" w:rsidRDefault="00112E56" w:rsidP="00F2542C">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112E56">
        <w:rPr>
          <w:rFonts w:ascii="Gill Sans MT" w:hAnsi="Gill Sans MT" w:cstheme="minorHAnsi"/>
        </w:rPr>
        <w:t xml:space="preserve">West Africa has an annual </w:t>
      </w:r>
      <w:r w:rsidR="00F14E22" w:rsidRPr="0002488D">
        <w:rPr>
          <w:rFonts w:ascii="Gill Sans MT" w:hAnsi="Gill Sans MT" w:cstheme="minorHAnsi"/>
        </w:rPr>
        <w:t>economic</w:t>
      </w:r>
      <w:r w:rsidR="00F14E22">
        <w:rPr>
          <w:rFonts w:ascii="Gill Sans MT" w:hAnsi="Gill Sans MT" w:cstheme="minorHAnsi"/>
        </w:rPr>
        <w:t xml:space="preserve"> </w:t>
      </w:r>
      <w:r w:rsidRPr="00112E56">
        <w:rPr>
          <w:rFonts w:ascii="Gill Sans MT" w:hAnsi="Gill Sans MT" w:cstheme="minorHAnsi"/>
        </w:rPr>
        <w:t>growth rate of 7%, one of the highest in Africa. This achievement has however had very little impact on the situation of the Rights of the Child, which calls for a continued advocacy of civil society so that relevant authorities prioritize child rights in their agenda. Less than two years to the 2015 milestones, none of the West African countries, with the exception of Ghana, are on track to reach the Millennium Development Goals.</w:t>
      </w:r>
    </w:p>
    <w:p w14:paraId="12D49F39" w14:textId="77777777" w:rsidR="00112E56" w:rsidRPr="00112E56" w:rsidRDefault="00112E56" w:rsidP="00F2542C">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112E56">
        <w:rPr>
          <w:rFonts w:ascii="Gill Sans MT" w:hAnsi="Gill Sans MT" w:cstheme="minorHAnsi"/>
        </w:rPr>
        <w:t>The National Strategy for Child Protection finalized since 2011 was finally adopted by the Government of Senegal in December 2013. This is an important step to warrant children's rights in Senegal, through better coordination of actors intervening on child protection. The National Strategy for Economic and Social Development 2013-2017 was also adopted. It focuses on wealth creation, strengthening governance and the development of strategic sectors with significant impact on well-being and social equity. The implementation of this strategy is expected to contribute to the reduction of social inequalities and improve living conditions, health and education of children in Senegal.</w:t>
      </w:r>
    </w:p>
    <w:p w14:paraId="01ED1591" w14:textId="77777777" w:rsidR="00112E56" w:rsidRPr="00112E56" w:rsidRDefault="00112E56" w:rsidP="00F2542C">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112E56">
        <w:rPr>
          <w:rFonts w:ascii="Gill Sans MT" w:hAnsi="Gill Sans MT" w:cstheme="minorHAnsi"/>
        </w:rPr>
        <w:t>After the reforms of the 1972 and the 1996 Local Government Code and transfer of key responsibilities to rural communities, municipalities and regions, Senegal officially launched in March 2013 the Decentralization Act III which devotes full decentralization at municipal level. Citizen participation has been elevated to a principle alongside that of free administration, which gives more scope for direct involvement of the communities in the implementation of local policies. The National Council for Community Development now includes representatives from the private sector and civil society. This will be a good opportunity for our partners to better influence policy by being at the heart of local-level decision making.</w:t>
      </w:r>
    </w:p>
    <w:p w14:paraId="7F611691" w14:textId="77777777" w:rsidR="00112E56" w:rsidRPr="00112E56" w:rsidRDefault="00112E56" w:rsidP="00F2542C">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112E56">
        <w:rPr>
          <w:rFonts w:ascii="Gill Sans MT" w:hAnsi="Gill Sans MT" w:cstheme="minorHAnsi"/>
        </w:rPr>
        <w:t>In 2013, floods in Senegal resulted in dozens of deaths and between 150,000 and 300,000 people were affected. This had an impact on the safety, protection and education of children and internal movements of population hampered the implementation of some activities of our partners and monitoring of beneficiaries. The adoption of the Ten Year Plan of Flood Management of nearly 7 billion FCFA (USD 14Mns) suggests that the Government of Senegal is addressing this recurring problem.</w:t>
      </w:r>
    </w:p>
    <w:p w14:paraId="4AABB00A" w14:textId="77777777" w:rsidR="00112E56" w:rsidRPr="00112E56" w:rsidRDefault="00112E56" w:rsidP="00F2542C">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112E56">
        <w:rPr>
          <w:rFonts w:ascii="Gill Sans MT" w:hAnsi="Gill Sans MT" w:cstheme="minorHAnsi"/>
        </w:rPr>
        <w:t xml:space="preserve">According to the latest poverty survey in Senegal (ESPSII-2011, published in 2013), 85% of the population did not consult health staff due to financial barriers. The </w:t>
      </w:r>
      <w:r w:rsidR="007176A4">
        <w:rPr>
          <w:rFonts w:ascii="Gill Sans MT" w:hAnsi="Gill Sans MT" w:cstheme="minorHAnsi"/>
        </w:rPr>
        <w:t>U</w:t>
      </w:r>
      <w:r w:rsidRPr="00112E56">
        <w:rPr>
          <w:rFonts w:ascii="Gill Sans MT" w:hAnsi="Gill Sans MT" w:cstheme="minorHAnsi"/>
        </w:rPr>
        <w:t xml:space="preserve">niversal </w:t>
      </w:r>
      <w:r w:rsidR="007176A4">
        <w:rPr>
          <w:rFonts w:ascii="Gill Sans MT" w:hAnsi="Gill Sans MT" w:cstheme="minorHAnsi"/>
        </w:rPr>
        <w:t>Health C</w:t>
      </w:r>
      <w:r w:rsidRPr="00112E56">
        <w:rPr>
          <w:rFonts w:ascii="Gill Sans MT" w:hAnsi="Gill Sans MT" w:cstheme="minorHAnsi"/>
        </w:rPr>
        <w:t>over officially launched on September 20, 2013 by the President, aims to address the inaccessibility of health care services in Senegal, with a focus on free healthcare for children 0-5 years.</w:t>
      </w:r>
    </w:p>
    <w:p w14:paraId="378D47AD" w14:textId="77777777" w:rsidR="00112E56" w:rsidRPr="00112E56" w:rsidRDefault="00112E56" w:rsidP="00F2542C">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112E56">
        <w:rPr>
          <w:rFonts w:ascii="Gill Sans MT" w:hAnsi="Gill Sans MT" w:cstheme="minorHAnsi"/>
        </w:rPr>
        <w:t>In 2013, elections took place in s</w:t>
      </w:r>
      <w:r w:rsidR="007176A4">
        <w:rPr>
          <w:rFonts w:ascii="Gill Sans MT" w:hAnsi="Gill Sans MT" w:cstheme="minorHAnsi"/>
        </w:rPr>
        <w:t xml:space="preserve">everal countries </w:t>
      </w:r>
      <w:r w:rsidRPr="00112E56">
        <w:rPr>
          <w:rFonts w:ascii="Gill Sans MT" w:hAnsi="Gill Sans MT" w:cstheme="minorHAnsi"/>
        </w:rPr>
        <w:t>where SCI in Senegal intervene</w:t>
      </w:r>
      <w:r w:rsidR="00A51C40">
        <w:rPr>
          <w:rFonts w:ascii="Gill Sans MT" w:hAnsi="Gill Sans MT" w:cstheme="minorHAnsi"/>
        </w:rPr>
        <w:t>d</w:t>
      </w:r>
      <w:r w:rsidRPr="00112E56">
        <w:rPr>
          <w:rFonts w:ascii="Gill Sans MT" w:hAnsi="Gill Sans MT" w:cstheme="minorHAnsi"/>
        </w:rPr>
        <w:t xml:space="preserve">. In Mali, the presidential election has brought renewed hope and contained the political crisis and past violence which affected the population. In Togo, the election of a new parliament has led our partner to reorient the activities previously planned with parliamentarians. Pre-and post-election tensions in Guinea Conakry negatively delayed our partners’ activities and affected negatively </w:t>
      </w:r>
      <w:r w:rsidR="007176A4">
        <w:rPr>
          <w:rFonts w:ascii="Gill Sans MT" w:hAnsi="Gill Sans MT" w:cstheme="minorHAnsi"/>
        </w:rPr>
        <w:t>our results</w:t>
      </w:r>
      <w:r w:rsidRPr="00112E56">
        <w:rPr>
          <w:rFonts w:ascii="Gill Sans MT" w:hAnsi="Gill Sans MT" w:cstheme="minorHAnsi"/>
        </w:rPr>
        <w:t>, particularly for our advocacy work. In Niger, the appointment of the Director General of the National Agency against Trafficking of Persons should guarantee that this institution can better play its role to protect people on the move, especially children.</w:t>
      </w:r>
    </w:p>
    <w:p w14:paraId="42037BBC" w14:textId="77777777" w:rsidR="007176A4" w:rsidRDefault="00112E56" w:rsidP="00F2542C">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b/>
        </w:rPr>
      </w:pPr>
      <w:r w:rsidRPr="00112E56">
        <w:rPr>
          <w:rFonts w:ascii="Gill Sans MT" w:hAnsi="Gill Sans MT" w:cstheme="minorHAnsi"/>
        </w:rPr>
        <w:t xml:space="preserve">The collaboration between civil society and ECOWAS has been very positive in 2013. The Gender and Development Commission of the ECOWAS integrated the recommendations of our partners in the revision of its strategy for child protection. Our regional partner joined </w:t>
      </w:r>
      <w:r w:rsidRPr="00112E56">
        <w:rPr>
          <w:rFonts w:ascii="Gill Sans MT" w:hAnsi="Gill Sans MT" w:cstheme="minorHAnsi"/>
        </w:rPr>
        <w:lastRenderedPageBreak/>
        <w:t xml:space="preserve">the </w:t>
      </w:r>
      <w:r w:rsidR="00463D70" w:rsidRPr="000E5725">
        <w:rPr>
          <w:rFonts w:ascii="Gill Sans MT" w:hAnsi="Gill Sans MT" w:cstheme="minorHAnsi"/>
          <w:lang w:val="en-US"/>
        </w:rPr>
        <w:t>West Afric</w:t>
      </w:r>
      <w:r w:rsidR="00463D70">
        <w:rPr>
          <w:rFonts w:ascii="Gill Sans MT" w:hAnsi="Gill Sans MT" w:cstheme="minorHAnsi"/>
          <w:lang w:val="en-US"/>
        </w:rPr>
        <w:t>an Civil Society Forum (WACSOF)</w:t>
      </w:r>
      <w:r w:rsidRPr="00112E56">
        <w:rPr>
          <w:rFonts w:ascii="Gill Sans MT" w:hAnsi="Gill Sans MT" w:cstheme="minorHAnsi"/>
        </w:rPr>
        <w:t>, the civil society arm of ECOWAS, enabling UCOA to better monitor child rights within this regional political institution.</w:t>
      </w:r>
      <w:r w:rsidR="00A51C40">
        <w:rPr>
          <w:rFonts w:ascii="Gill Sans MT" w:hAnsi="Gill Sans MT" w:cstheme="minorHAnsi"/>
        </w:rPr>
        <w:t xml:space="preserve"> </w:t>
      </w:r>
      <w:r w:rsidR="007176A4">
        <w:rPr>
          <w:rFonts w:ascii="Gill Sans MT" w:hAnsi="Gill Sans MT" w:cstheme="minorHAnsi"/>
          <w:b/>
        </w:rPr>
        <w:br w:type="page"/>
      </w:r>
    </w:p>
    <w:p w14:paraId="1AAEA481" w14:textId="77777777" w:rsidR="009F2843" w:rsidRDefault="00732ABF" w:rsidP="00D6573E">
      <w:pPr>
        <w:pStyle w:val="Heading1"/>
        <w:numPr>
          <w:ilvl w:val="0"/>
          <w:numId w:val="13"/>
        </w:numPr>
      </w:pPr>
      <w:bookmarkStart w:id="3" w:name="_Toc384042244"/>
      <w:r>
        <w:lastRenderedPageBreak/>
        <w:t xml:space="preserve">Highlights of Achievements </w:t>
      </w:r>
      <w:r w:rsidR="000653FB">
        <w:t>and Lessons Learnt</w:t>
      </w:r>
      <w:bookmarkEnd w:id="3"/>
    </w:p>
    <w:p w14:paraId="38E9AE19" w14:textId="77777777" w:rsidR="002D223E" w:rsidRDefault="002D223E" w:rsidP="002D223E">
      <w:pPr>
        <w:jc w:val="both"/>
        <w:rPr>
          <w:rFonts w:ascii="Gill Sans MT" w:hAnsi="Gill Sans MT" w:cstheme="minorHAnsi"/>
          <w:b/>
        </w:rPr>
      </w:pPr>
    </w:p>
    <w:p w14:paraId="77C8C8A0" w14:textId="77777777" w:rsidR="002D223E" w:rsidRDefault="002D223E" w:rsidP="002D223E">
      <w:pPr>
        <w:pBdr>
          <w:top w:val="single" w:sz="4" w:space="1" w:color="auto"/>
          <w:left w:val="single" w:sz="4" w:space="4" w:color="auto"/>
          <w:bottom w:val="single" w:sz="4" w:space="31" w:color="auto"/>
          <w:right w:val="single" w:sz="4" w:space="3" w:color="auto"/>
        </w:pBdr>
        <w:jc w:val="both"/>
        <w:rPr>
          <w:rFonts w:ascii="Gill Sans MT" w:hAnsi="Gill Sans MT" w:cstheme="minorHAnsi"/>
          <w:i/>
        </w:rPr>
      </w:pPr>
      <w:r>
        <w:rPr>
          <w:rFonts w:ascii="Gill Sans MT" w:hAnsi="Gill Sans MT" w:cstheme="minorHAnsi"/>
          <w:i/>
          <w:highlight w:val="lightGray"/>
        </w:rPr>
        <w:t>Theme Area 1 – Protection</w:t>
      </w:r>
      <w:r>
        <w:rPr>
          <w:rFonts w:ascii="Gill Sans MT" w:hAnsi="Gill Sans MT" w:cstheme="minorHAnsi"/>
          <w:i/>
        </w:rPr>
        <w:t xml:space="preserve">: </w:t>
      </w:r>
    </w:p>
    <w:p w14:paraId="6CC59044" w14:textId="77777777" w:rsidR="002D223E" w:rsidRDefault="002D223E" w:rsidP="002D223E">
      <w:pPr>
        <w:pBdr>
          <w:top w:val="single" w:sz="4" w:space="1" w:color="auto"/>
          <w:left w:val="single" w:sz="4" w:space="4" w:color="auto"/>
          <w:bottom w:val="single" w:sz="4" w:space="31" w:color="auto"/>
          <w:right w:val="single" w:sz="4" w:space="3" w:color="auto"/>
        </w:pBdr>
        <w:jc w:val="both"/>
        <w:rPr>
          <w:rFonts w:ascii="Gill Sans MT" w:hAnsi="Gill Sans MT" w:cstheme="minorHAnsi"/>
          <w:lang w:val="en-US"/>
        </w:rPr>
      </w:pPr>
      <w:r>
        <w:rPr>
          <w:rFonts w:ascii="Gill Sans MT" w:hAnsi="Gill Sans MT" w:cstheme="minorHAnsi"/>
          <w:lang w:val="en-US"/>
        </w:rPr>
        <w:t xml:space="preserve">With a total </w:t>
      </w:r>
      <w:r w:rsidR="005A6E5B" w:rsidRPr="0002488D">
        <w:rPr>
          <w:rFonts w:ascii="Gill Sans MT" w:hAnsi="Gill Sans MT" w:cstheme="minorHAnsi"/>
          <w:lang w:val="en-US"/>
        </w:rPr>
        <w:t>spend</w:t>
      </w:r>
      <w:r>
        <w:rPr>
          <w:rFonts w:ascii="Gill Sans MT" w:hAnsi="Gill Sans MT" w:cstheme="minorHAnsi"/>
          <w:lang w:val="en-US"/>
        </w:rPr>
        <w:t xml:space="preserve"> of USD </w:t>
      </w:r>
      <w:r w:rsidRPr="0002488D">
        <w:rPr>
          <w:rFonts w:ascii="Gill Sans MT" w:hAnsi="Gill Sans MT" w:cstheme="minorHAnsi"/>
          <w:lang w:val="en-US"/>
        </w:rPr>
        <w:t>2.5 million (</w:t>
      </w:r>
      <w:r w:rsidR="00AF15EA">
        <w:rPr>
          <w:rFonts w:ascii="Gill Sans MT" w:hAnsi="Gill Sans MT" w:cstheme="minorHAnsi"/>
          <w:lang w:val="en-US"/>
        </w:rPr>
        <w:t>53</w:t>
      </w:r>
      <w:r w:rsidRPr="0002488D">
        <w:rPr>
          <w:rFonts w:ascii="Gill Sans MT" w:hAnsi="Gill Sans MT" w:cstheme="minorHAnsi"/>
          <w:lang w:val="en-US"/>
        </w:rPr>
        <w:t>%</w:t>
      </w:r>
      <w:r w:rsidRPr="000575B6">
        <w:rPr>
          <w:rFonts w:ascii="Gill Sans MT" w:hAnsi="Gill Sans MT" w:cstheme="minorHAnsi"/>
          <w:lang w:val="en-US"/>
        </w:rPr>
        <w:t xml:space="preserve"> of the CO annual </w:t>
      </w:r>
      <w:r w:rsidR="0002488D">
        <w:rPr>
          <w:rFonts w:ascii="Gill Sans MT" w:hAnsi="Gill Sans MT" w:cstheme="minorHAnsi"/>
          <w:lang w:val="en-US"/>
        </w:rPr>
        <w:t>spend</w:t>
      </w:r>
      <w:r w:rsidRPr="000575B6">
        <w:rPr>
          <w:rFonts w:ascii="Gill Sans MT" w:hAnsi="Gill Sans MT" w:cstheme="minorHAnsi"/>
          <w:lang w:val="en-US"/>
        </w:rPr>
        <w:t xml:space="preserve">) child protection has remained the largest programme of Save the Children in Senegal in 2013. Through our work </w:t>
      </w:r>
      <w:r w:rsidRPr="006E7770">
        <w:rPr>
          <w:rFonts w:ascii="Gill Sans MT" w:hAnsi="Gill Sans MT" w:cstheme="minorHAnsi"/>
          <w:lang w:val="en-US"/>
        </w:rPr>
        <w:t xml:space="preserve">with 10 partners in 4 countries, </w:t>
      </w:r>
      <w:r>
        <w:rPr>
          <w:rFonts w:ascii="Gill Sans MT" w:hAnsi="Gill Sans MT" w:cstheme="minorHAnsi"/>
          <w:lang w:val="en-US"/>
        </w:rPr>
        <w:t xml:space="preserve">our Protection </w:t>
      </w:r>
      <w:r w:rsidRPr="006E7770">
        <w:rPr>
          <w:rFonts w:ascii="Gill Sans MT" w:hAnsi="Gill Sans MT" w:cstheme="minorHAnsi"/>
          <w:lang w:val="en-US"/>
        </w:rPr>
        <w:t>programme addressed the following sub-themes: Childr</w:t>
      </w:r>
      <w:r w:rsidRPr="000575B6">
        <w:rPr>
          <w:rFonts w:ascii="Gill Sans MT" w:hAnsi="Gill Sans MT" w:cstheme="minorHAnsi"/>
          <w:lang w:val="en-US"/>
        </w:rPr>
        <w:t>en without appropriate care (19), Physical and Humiliating Punishment (21), Sexual and Gender Based Violence and Harmful traditional practices (24 and 25), Children and work (22), and Child protection in Emergencies (27).</w:t>
      </w:r>
    </w:p>
    <w:p w14:paraId="723C815A" w14:textId="77777777" w:rsidR="002D223E" w:rsidRPr="000575B6" w:rsidRDefault="002D223E" w:rsidP="002D223E">
      <w:pPr>
        <w:pBdr>
          <w:top w:val="single" w:sz="4" w:space="1" w:color="auto"/>
          <w:left w:val="single" w:sz="4" w:space="4" w:color="auto"/>
          <w:bottom w:val="single" w:sz="4" w:space="31" w:color="auto"/>
          <w:right w:val="single" w:sz="4" w:space="3" w:color="auto"/>
        </w:pBdr>
        <w:jc w:val="both"/>
        <w:rPr>
          <w:rFonts w:ascii="Gill Sans MT" w:hAnsi="Gill Sans MT"/>
          <w:b/>
          <w:i/>
          <w:lang w:val="en-US"/>
        </w:rPr>
      </w:pPr>
    </w:p>
    <w:p w14:paraId="163B5541" w14:textId="77777777" w:rsidR="002D223E" w:rsidRPr="00D77A23" w:rsidRDefault="002D223E" w:rsidP="002D223E">
      <w:pPr>
        <w:pBdr>
          <w:top w:val="single" w:sz="4" w:space="1" w:color="auto"/>
          <w:left w:val="single" w:sz="4" w:space="4" w:color="auto"/>
          <w:bottom w:val="single" w:sz="4" w:space="31" w:color="auto"/>
          <w:right w:val="single" w:sz="4" w:space="3" w:color="auto"/>
        </w:pBdr>
        <w:rPr>
          <w:rFonts w:ascii="Gill Sans MT" w:hAnsi="Gill Sans MT"/>
          <w:b/>
          <w:i/>
          <w:lang w:val="en-US"/>
        </w:rPr>
      </w:pPr>
      <w:r w:rsidRPr="00D77A23">
        <w:rPr>
          <w:rFonts w:ascii="Gill Sans MT" w:hAnsi="Gill Sans MT"/>
          <w:b/>
          <w:i/>
          <w:lang w:val="en-US"/>
        </w:rPr>
        <w:t>Children without appropriate care</w:t>
      </w:r>
    </w:p>
    <w:p w14:paraId="7D426651" w14:textId="77777777" w:rsidR="002D223E" w:rsidRPr="000575B6"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cstheme="minorHAnsi"/>
          <w:i/>
          <w:lang w:val="en-US"/>
        </w:rPr>
      </w:pPr>
      <w:r>
        <w:rPr>
          <w:rFonts w:ascii="Gill Sans MT" w:hAnsi="Gill Sans MT"/>
          <w:lang w:val="en-US"/>
        </w:rPr>
        <w:t>T</w:t>
      </w:r>
      <w:r w:rsidRPr="000575B6">
        <w:rPr>
          <w:rFonts w:ascii="Gill Sans MT" w:hAnsi="Gill Sans MT"/>
          <w:lang w:val="en-US"/>
        </w:rPr>
        <w:t xml:space="preserve">he National Child protection strategy was adopted in </w:t>
      </w:r>
      <w:r>
        <w:rPr>
          <w:rFonts w:ascii="Gill Sans MT" w:hAnsi="Gill Sans MT"/>
          <w:lang w:val="en-US"/>
        </w:rPr>
        <w:t xml:space="preserve">Senegal in </w:t>
      </w:r>
      <w:r w:rsidRPr="000575B6">
        <w:rPr>
          <w:rFonts w:ascii="Gill Sans MT" w:hAnsi="Gill Sans MT"/>
          <w:lang w:val="en-US"/>
        </w:rPr>
        <w:t>December 2013</w:t>
      </w:r>
      <w:r>
        <w:rPr>
          <w:rFonts w:ascii="Gill Sans MT" w:hAnsi="Gill Sans MT"/>
          <w:lang w:val="en-US"/>
        </w:rPr>
        <w:t xml:space="preserve">, representing a </w:t>
      </w:r>
      <w:r w:rsidRPr="000575B6">
        <w:rPr>
          <w:rFonts w:ascii="Gill Sans MT" w:hAnsi="Gill Sans MT"/>
          <w:lang w:val="en-US"/>
        </w:rPr>
        <w:t xml:space="preserve">major step in </w:t>
      </w:r>
      <w:r w:rsidRPr="000575B6">
        <w:rPr>
          <w:rFonts w:ascii="Gill Sans MT" w:hAnsi="Gill Sans MT"/>
          <w:b/>
          <w:lang w:val="en-US"/>
        </w:rPr>
        <w:t>strengthening the child protection system at the national level</w:t>
      </w:r>
      <w:r w:rsidRPr="000575B6">
        <w:rPr>
          <w:rFonts w:ascii="Gill Sans MT" w:hAnsi="Gill Sans MT"/>
          <w:lang w:val="en-US"/>
        </w:rPr>
        <w:t>.</w:t>
      </w:r>
    </w:p>
    <w:p w14:paraId="775C2B1B" w14:textId="77777777" w:rsidR="002D223E" w:rsidRPr="000575B6"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lang w:val="en-US"/>
        </w:rPr>
      </w:pPr>
      <w:r w:rsidRPr="000575B6">
        <w:rPr>
          <w:rFonts w:ascii="Gill Sans MT" w:hAnsi="Gill Sans MT"/>
          <w:lang w:val="en-US"/>
        </w:rPr>
        <w:t xml:space="preserve">To </w:t>
      </w:r>
      <w:r w:rsidRPr="000575B6">
        <w:rPr>
          <w:rFonts w:ascii="Gill Sans MT" w:hAnsi="Gill Sans MT"/>
          <w:b/>
          <w:lang w:val="en-US"/>
        </w:rPr>
        <w:t>improve community protection for children</w:t>
      </w:r>
      <w:r>
        <w:rPr>
          <w:rFonts w:ascii="Gill Sans MT" w:hAnsi="Gill Sans MT"/>
          <w:b/>
          <w:lang w:val="en-US"/>
        </w:rPr>
        <w:t xml:space="preserve"> </w:t>
      </w:r>
      <w:r w:rsidRPr="000575B6">
        <w:rPr>
          <w:rFonts w:ascii="Gill Sans MT" w:hAnsi="Gill Sans MT"/>
          <w:lang w:val="en-US"/>
        </w:rPr>
        <w:t>in Senegal</w:t>
      </w:r>
      <w:r w:rsidRPr="000575B6">
        <w:rPr>
          <w:rFonts w:ascii="Gill Sans MT" w:hAnsi="Gill Sans MT"/>
          <w:b/>
          <w:lang w:val="en-US"/>
        </w:rPr>
        <w:t>,</w:t>
      </w:r>
      <w:r w:rsidRPr="000575B6">
        <w:rPr>
          <w:rFonts w:ascii="Gill Sans MT" w:hAnsi="Gill Sans MT"/>
          <w:lang w:val="en-US"/>
        </w:rPr>
        <w:t xml:space="preserve"> </w:t>
      </w:r>
      <w:r>
        <w:rPr>
          <w:rFonts w:ascii="Gill Sans MT" w:hAnsi="Gill Sans MT"/>
          <w:lang w:val="en-US"/>
        </w:rPr>
        <w:t xml:space="preserve">assessments of the </w:t>
      </w:r>
      <w:r w:rsidRPr="000575B6">
        <w:rPr>
          <w:rFonts w:ascii="Gill Sans MT" w:hAnsi="Gill Sans MT"/>
          <w:lang w:val="en-US"/>
        </w:rPr>
        <w:t xml:space="preserve">quality of </w:t>
      </w:r>
      <w:r>
        <w:rPr>
          <w:rFonts w:ascii="Gill Sans MT" w:hAnsi="Gill Sans MT"/>
          <w:lang w:val="en-US"/>
        </w:rPr>
        <w:t xml:space="preserve">protection </w:t>
      </w:r>
      <w:r w:rsidRPr="000575B6">
        <w:rPr>
          <w:rFonts w:ascii="Gill Sans MT" w:hAnsi="Gill Sans MT"/>
          <w:lang w:val="en-US"/>
        </w:rPr>
        <w:t>services were carried out with the 43 child protection committees with whom our partners collaborate. A baseline survey was undertaken on community structures and community based child protection mechanisms to enable us to benchmark progress</w:t>
      </w:r>
      <w:r>
        <w:rPr>
          <w:rFonts w:ascii="Gill Sans MT" w:hAnsi="Gill Sans MT"/>
          <w:lang w:val="en-US"/>
        </w:rPr>
        <w:t xml:space="preserve">. </w:t>
      </w:r>
      <w:r w:rsidRPr="000575B6">
        <w:rPr>
          <w:rFonts w:ascii="Gill Sans MT" w:hAnsi="Gill Sans MT"/>
          <w:lang w:val="en-US"/>
        </w:rPr>
        <w:t xml:space="preserve"> </w:t>
      </w:r>
    </w:p>
    <w:p w14:paraId="25EEAA6A" w14:textId="77777777" w:rsidR="002D223E" w:rsidRPr="000575B6"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lang w:val="en-US"/>
        </w:rPr>
      </w:pPr>
      <w:r w:rsidRPr="000575B6">
        <w:rPr>
          <w:rFonts w:ascii="Gill Sans MT" w:hAnsi="Gill Sans MT"/>
          <w:lang w:val="en-US"/>
        </w:rPr>
        <w:t xml:space="preserve">Save the Children continued its work with </w:t>
      </w:r>
      <w:r w:rsidRPr="006E7770">
        <w:rPr>
          <w:rFonts w:ascii="Gill Sans MT" w:hAnsi="Gill Sans MT"/>
          <w:b/>
          <w:lang w:val="en-US"/>
        </w:rPr>
        <w:t>child protection committees</w:t>
      </w:r>
      <w:r w:rsidRPr="000575B6">
        <w:rPr>
          <w:rFonts w:ascii="Gill Sans MT" w:hAnsi="Gill Sans MT"/>
          <w:lang w:val="en-US"/>
        </w:rPr>
        <w:t xml:space="preserve"> (CPCs), groups of volunteers trained to identify, monitor, and take action on child protection issues in their communities, including referring children to services, in Togo, Guinea and Senegal. In 2013 the country office directly reached </w:t>
      </w:r>
      <w:r>
        <w:rPr>
          <w:rFonts w:ascii="Gill Sans MT" w:hAnsi="Gill Sans MT"/>
          <w:lang w:val="en-US"/>
        </w:rPr>
        <w:t xml:space="preserve">7,044 </w:t>
      </w:r>
      <w:r w:rsidRPr="000575B6">
        <w:rPr>
          <w:rFonts w:ascii="Gill Sans MT" w:hAnsi="Gill Sans MT"/>
          <w:lang w:val="en-US"/>
        </w:rPr>
        <w:t xml:space="preserve">children </w:t>
      </w:r>
      <w:r>
        <w:rPr>
          <w:rFonts w:ascii="Gill Sans MT" w:hAnsi="Gill Sans MT"/>
          <w:lang w:val="en-US"/>
        </w:rPr>
        <w:t>(3,516 girls and 3,528 boys) and 2,694</w:t>
      </w:r>
      <w:r w:rsidRPr="000575B6">
        <w:rPr>
          <w:rFonts w:ascii="Gill Sans MT" w:hAnsi="Gill Sans MT"/>
          <w:lang w:val="en-US"/>
        </w:rPr>
        <w:t xml:space="preserve"> adults</w:t>
      </w:r>
      <w:r>
        <w:rPr>
          <w:rFonts w:ascii="Gill Sans MT" w:hAnsi="Gill Sans MT"/>
          <w:lang w:val="en-US"/>
        </w:rPr>
        <w:t xml:space="preserve"> (1,242 women and 1,452 men)</w:t>
      </w:r>
      <w:r w:rsidRPr="000575B6">
        <w:rPr>
          <w:rFonts w:ascii="Gill Sans MT" w:hAnsi="Gill Sans MT"/>
          <w:lang w:val="en-US"/>
        </w:rPr>
        <w:t xml:space="preserve"> through CPCs.</w:t>
      </w:r>
    </w:p>
    <w:p w14:paraId="500C64DF" w14:textId="77777777" w:rsidR="002D223E" w:rsidRPr="000575B6"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lang w:val="en-US"/>
        </w:rPr>
      </w:pPr>
      <w:r>
        <w:rPr>
          <w:rFonts w:ascii="Gill Sans MT" w:hAnsi="Gill Sans MT"/>
          <w:b/>
          <w:lang w:val="en-US"/>
        </w:rPr>
        <w:t xml:space="preserve">18,898 girls and 14,954 boys </w:t>
      </w:r>
      <w:r w:rsidRPr="006E7770">
        <w:rPr>
          <w:rFonts w:ascii="Gill Sans MT" w:hAnsi="Gill Sans MT"/>
          <w:b/>
          <w:lang w:val="en-US"/>
        </w:rPr>
        <w:t>living in vulnerable conditions</w:t>
      </w:r>
      <w:r w:rsidRPr="000575B6">
        <w:rPr>
          <w:rFonts w:ascii="Gill Sans MT" w:hAnsi="Gill Sans MT"/>
          <w:lang w:val="en-US"/>
        </w:rPr>
        <w:t xml:space="preserve"> due to exploitation, including talibé children and those living and working </w:t>
      </w:r>
      <w:r>
        <w:rPr>
          <w:rFonts w:ascii="Gill Sans MT" w:hAnsi="Gill Sans MT"/>
          <w:lang w:val="en-US"/>
        </w:rPr>
        <w:t>i</w:t>
      </w:r>
      <w:r w:rsidRPr="000575B6">
        <w:rPr>
          <w:rFonts w:ascii="Gill Sans MT" w:hAnsi="Gill Sans MT"/>
          <w:lang w:val="en-US"/>
        </w:rPr>
        <w:t xml:space="preserve">n the streets, have received counselling, temporary shelter, skills training, school support and/or family reunification through </w:t>
      </w:r>
      <w:r>
        <w:rPr>
          <w:rFonts w:ascii="Gill Sans MT" w:hAnsi="Gill Sans MT"/>
          <w:lang w:val="en-US"/>
        </w:rPr>
        <w:t>our projects</w:t>
      </w:r>
      <w:r w:rsidRPr="000575B6">
        <w:rPr>
          <w:rFonts w:ascii="Gill Sans MT" w:hAnsi="Gill Sans MT"/>
          <w:lang w:val="en-US"/>
        </w:rPr>
        <w:t>.</w:t>
      </w:r>
    </w:p>
    <w:p w14:paraId="068699FA" w14:textId="77777777" w:rsidR="002D223E" w:rsidRPr="00EB4441"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lang w:val="en-US"/>
        </w:rPr>
      </w:pPr>
      <w:r>
        <w:rPr>
          <w:rFonts w:ascii="Gill Sans MT" w:hAnsi="Gill Sans MT"/>
          <w:b/>
          <w:lang w:val="en-US"/>
        </w:rPr>
        <w:t xml:space="preserve">260 </w:t>
      </w:r>
      <w:r w:rsidRPr="006E7770">
        <w:rPr>
          <w:rFonts w:ascii="Gill Sans MT" w:hAnsi="Gill Sans MT"/>
          <w:b/>
          <w:lang w:val="en-US"/>
        </w:rPr>
        <w:t>Children</w:t>
      </w:r>
      <w:r>
        <w:rPr>
          <w:rFonts w:ascii="Gill Sans MT" w:hAnsi="Gill Sans MT"/>
          <w:b/>
          <w:lang w:val="en-US"/>
        </w:rPr>
        <w:t xml:space="preserve"> (147 girls and 113 boys) </w:t>
      </w:r>
      <w:r w:rsidRPr="006E7770">
        <w:rPr>
          <w:rFonts w:ascii="Gill Sans MT" w:hAnsi="Gill Sans MT"/>
          <w:b/>
          <w:lang w:val="en-US"/>
        </w:rPr>
        <w:t>actively participated</w:t>
      </w:r>
      <w:r w:rsidRPr="000575B6">
        <w:rPr>
          <w:rFonts w:ascii="Gill Sans MT" w:hAnsi="Gill Sans MT"/>
          <w:lang w:val="en-US"/>
        </w:rPr>
        <w:t xml:space="preserve"> in prevention and monitoring of violence against children </w:t>
      </w:r>
      <w:r>
        <w:rPr>
          <w:rFonts w:ascii="Gill Sans MT" w:hAnsi="Gill Sans MT"/>
          <w:lang w:val="en-US"/>
        </w:rPr>
        <w:t>through c</w:t>
      </w:r>
      <w:r w:rsidRPr="000575B6">
        <w:rPr>
          <w:rFonts w:ascii="Gill Sans MT" w:hAnsi="Gill Sans MT"/>
          <w:lang w:val="en-US"/>
        </w:rPr>
        <w:t xml:space="preserve">hild-led initiatives. </w:t>
      </w:r>
      <w:r w:rsidRPr="007E2858">
        <w:rPr>
          <w:rFonts w:ascii="Gill Sans MT" w:hAnsi="Gill Sans MT"/>
          <w:lang w:val="en-US"/>
        </w:rPr>
        <w:t>In Senegal, the Government officially recognized the role of «ainés protecteurs » (youth who actively protect children from abuse and exploitation in their community) as main actors of the protection system, a key achievement of our partners’ advocacy work and a first step towards their practical implementation.</w:t>
      </w:r>
      <w:r>
        <w:rPr>
          <w:rFonts w:ascii="Gill Sans MT" w:hAnsi="Gill Sans MT"/>
          <w:lang w:val="en-US"/>
        </w:rPr>
        <w:t xml:space="preserve"> </w:t>
      </w:r>
    </w:p>
    <w:p w14:paraId="74CDD2ED" w14:textId="77777777" w:rsidR="002D223E" w:rsidRPr="007E2858"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lang w:val="en-US"/>
        </w:rPr>
      </w:pPr>
      <w:r w:rsidRPr="000575B6">
        <w:rPr>
          <w:rFonts w:ascii="Gill Sans MT" w:hAnsi="Gill Sans MT"/>
          <w:lang w:val="en-US"/>
        </w:rPr>
        <w:t xml:space="preserve">We continue to support </w:t>
      </w:r>
      <w:r>
        <w:rPr>
          <w:rFonts w:ascii="Gill Sans MT" w:hAnsi="Gill Sans MT"/>
          <w:lang w:val="en-US"/>
        </w:rPr>
        <w:t xml:space="preserve">the </w:t>
      </w:r>
      <w:r w:rsidRPr="000575B6">
        <w:rPr>
          <w:rFonts w:ascii="Gill Sans MT" w:hAnsi="Gill Sans MT"/>
          <w:lang w:val="en-US"/>
        </w:rPr>
        <w:t xml:space="preserve">Africa Movement of Working Children (AMWC) </w:t>
      </w:r>
      <w:r w:rsidRPr="000575B6">
        <w:rPr>
          <w:rFonts w:ascii="Gill Sans MT" w:hAnsi="Gill Sans MT"/>
          <w:b/>
          <w:lang w:val="en-US"/>
        </w:rPr>
        <w:t>to build children’s capacity to protect themselves and their peers.</w:t>
      </w:r>
      <w:r w:rsidRPr="000575B6">
        <w:rPr>
          <w:rFonts w:ascii="Gill Sans MT" w:hAnsi="Gill Sans MT"/>
          <w:lang w:val="en-US"/>
        </w:rPr>
        <w:t xml:space="preserve">  An inno</w:t>
      </w:r>
      <w:r>
        <w:rPr>
          <w:rFonts w:ascii="Gill Sans MT" w:hAnsi="Gill Sans MT"/>
          <w:lang w:val="en-US"/>
        </w:rPr>
        <w:t xml:space="preserve">vative research </w:t>
      </w:r>
      <w:r w:rsidRPr="000575B6">
        <w:rPr>
          <w:rFonts w:ascii="Gill Sans MT" w:hAnsi="Gill Sans MT"/>
          <w:lang w:val="en-US"/>
        </w:rPr>
        <w:t>in Cote d Ivoire, Niger and Senegal</w:t>
      </w:r>
      <w:r>
        <w:rPr>
          <w:rFonts w:ascii="Gill Sans MT" w:hAnsi="Gill Sans MT"/>
          <w:lang w:val="en-US"/>
        </w:rPr>
        <w:t xml:space="preserve"> </w:t>
      </w:r>
      <w:r w:rsidRPr="000575B6">
        <w:rPr>
          <w:rFonts w:ascii="Gill Sans MT" w:hAnsi="Gill Sans MT"/>
          <w:lang w:val="en-US"/>
        </w:rPr>
        <w:t>document</w:t>
      </w:r>
      <w:r>
        <w:rPr>
          <w:rFonts w:ascii="Gill Sans MT" w:hAnsi="Gill Sans MT"/>
          <w:lang w:val="en-US"/>
        </w:rPr>
        <w:t>ed</w:t>
      </w:r>
      <w:r w:rsidRPr="000575B6">
        <w:rPr>
          <w:rFonts w:ascii="Gill Sans MT" w:hAnsi="Gill Sans MT"/>
          <w:lang w:val="en-US"/>
        </w:rPr>
        <w:t xml:space="preserve"> </w:t>
      </w:r>
      <w:r>
        <w:rPr>
          <w:rFonts w:ascii="Gill Sans MT" w:hAnsi="Gill Sans MT"/>
          <w:lang w:val="en-US"/>
        </w:rPr>
        <w:t xml:space="preserve">children’s knowledge, experiences and practices of child protection at the community level. </w:t>
      </w:r>
      <w:r w:rsidRPr="007E2858">
        <w:rPr>
          <w:rFonts w:ascii="Gill Sans MT" w:hAnsi="Gill Sans MT"/>
          <w:lang w:val="en-US"/>
        </w:rPr>
        <w:t>The key findings will be used in 2014 to advocate for a better integration of children groups</w:t>
      </w:r>
      <w:r w:rsidR="00962313">
        <w:rPr>
          <w:rFonts w:ascii="Gill Sans MT" w:hAnsi="Gill Sans MT"/>
          <w:lang w:val="en-US"/>
        </w:rPr>
        <w:t xml:space="preserve"> and children clubs</w:t>
      </w:r>
      <w:r w:rsidRPr="007E2858">
        <w:rPr>
          <w:rFonts w:ascii="Gill Sans MT" w:hAnsi="Gill Sans MT"/>
          <w:lang w:val="en-US"/>
        </w:rPr>
        <w:t xml:space="preserve"> in child protection mechanism at local levels. </w:t>
      </w:r>
    </w:p>
    <w:p w14:paraId="1721B667" w14:textId="77777777" w:rsidR="002D223E" w:rsidRPr="000575B6"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lang w:val="en-US"/>
        </w:rPr>
      </w:pPr>
      <w:r>
        <w:rPr>
          <w:rFonts w:ascii="Gill Sans MT" w:hAnsi="Gill Sans MT"/>
          <w:lang w:val="en-US"/>
        </w:rPr>
        <w:t xml:space="preserve">35,236 children (20,460 girls and 14,776 boys) </w:t>
      </w:r>
      <w:r w:rsidRPr="000575B6">
        <w:rPr>
          <w:rFonts w:ascii="Gill Sans MT" w:hAnsi="Gill Sans MT"/>
          <w:b/>
          <w:lang w:val="en-US"/>
        </w:rPr>
        <w:t>improve</w:t>
      </w:r>
      <w:r>
        <w:rPr>
          <w:rFonts w:ascii="Gill Sans MT" w:hAnsi="Gill Sans MT"/>
          <w:b/>
          <w:lang w:val="en-US"/>
        </w:rPr>
        <w:t>d</w:t>
      </w:r>
      <w:r w:rsidRPr="000575B6">
        <w:rPr>
          <w:rFonts w:ascii="Gill Sans MT" w:hAnsi="Gill Sans MT"/>
          <w:b/>
          <w:lang w:val="en-US"/>
        </w:rPr>
        <w:t xml:space="preserve"> </w:t>
      </w:r>
      <w:r>
        <w:rPr>
          <w:rFonts w:ascii="Gill Sans MT" w:hAnsi="Gill Sans MT"/>
          <w:b/>
          <w:lang w:val="en-US"/>
        </w:rPr>
        <w:t>their</w:t>
      </w:r>
      <w:r w:rsidRPr="000575B6">
        <w:rPr>
          <w:rFonts w:ascii="Gill Sans MT" w:hAnsi="Gill Sans MT"/>
          <w:b/>
          <w:lang w:val="en-US"/>
        </w:rPr>
        <w:t xml:space="preserve"> resilience to </w:t>
      </w:r>
      <w:r w:rsidR="00962313" w:rsidRPr="000575B6">
        <w:rPr>
          <w:rFonts w:ascii="Gill Sans MT" w:hAnsi="Gill Sans MT"/>
          <w:b/>
          <w:lang w:val="en-US"/>
        </w:rPr>
        <w:t>violence</w:t>
      </w:r>
      <w:r w:rsidR="00962313">
        <w:rPr>
          <w:rFonts w:ascii="Gill Sans MT" w:hAnsi="Gill Sans MT"/>
          <w:b/>
          <w:lang w:val="en-US"/>
        </w:rPr>
        <w:t xml:space="preserve"> </w:t>
      </w:r>
      <w:r w:rsidR="00962313" w:rsidRPr="000575B6">
        <w:rPr>
          <w:rFonts w:ascii="Gill Sans MT" w:hAnsi="Gill Sans MT"/>
          <w:lang w:val="en-US"/>
        </w:rPr>
        <w:t>through</w:t>
      </w:r>
      <w:r>
        <w:rPr>
          <w:rFonts w:ascii="Gill Sans MT" w:hAnsi="Gill Sans MT"/>
          <w:lang w:val="en-US"/>
        </w:rPr>
        <w:t xml:space="preserve"> l</w:t>
      </w:r>
      <w:r w:rsidRPr="000575B6">
        <w:rPr>
          <w:rFonts w:ascii="Gill Sans MT" w:hAnsi="Gill Sans MT"/>
          <w:lang w:val="en-US"/>
        </w:rPr>
        <w:t xml:space="preserve">ife skills sessions facilitated by grassroots groups. </w:t>
      </w:r>
    </w:p>
    <w:p w14:paraId="035F3AE7" w14:textId="77777777" w:rsidR="002D223E" w:rsidRPr="009D557C" w:rsidRDefault="002D223E" w:rsidP="002D223E">
      <w:pPr>
        <w:pBdr>
          <w:top w:val="single" w:sz="4" w:space="1" w:color="auto"/>
          <w:left w:val="single" w:sz="4" w:space="4" w:color="auto"/>
          <w:bottom w:val="single" w:sz="4" w:space="31" w:color="auto"/>
          <w:right w:val="single" w:sz="4" w:space="3" w:color="auto"/>
        </w:pBdr>
        <w:rPr>
          <w:rFonts w:ascii="Gill Sans MT" w:hAnsi="Gill Sans MT"/>
          <w:b/>
          <w:i/>
          <w:lang w:val="en-US"/>
        </w:rPr>
      </w:pPr>
      <w:r w:rsidRPr="009D557C">
        <w:rPr>
          <w:rFonts w:ascii="Gill Sans MT" w:hAnsi="Gill Sans MT"/>
          <w:b/>
          <w:i/>
          <w:lang w:val="en-US"/>
        </w:rPr>
        <w:t>Children sexually abused and exploited</w:t>
      </w:r>
    </w:p>
    <w:p w14:paraId="77636D35" w14:textId="77777777" w:rsidR="002D223E"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lang w:val="en-US"/>
        </w:rPr>
      </w:pPr>
      <w:r w:rsidRPr="00E36C9B">
        <w:rPr>
          <w:rFonts w:ascii="Gill Sans MT" w:hAnsi="Gill Sans MT"/>
          <w:lang w:val="en-US"/>
        </w:rPr>
        <w:t xml:space="preserve">Improved coordination and referral linkages have been established for the fight </w:t>
      </w:r>
      <w:r w:rsidRPr="00E36C9B">
        <w:rPr>
          <w:rFonts w:ascii="Gill Sans MT" w:hAnsi="Gill Sans MT"/>
          <w:b/>
          <w:lang w:val="en-US"/>
        </w:rPr>
        <w:t>against child sexual abuse</w:t>
      </w:r>
      <w:r w:rsidRPr="00E36C9B">
        <w:rPr>
          <w:rFonts w:ascii="Gill Sans MT" w:hAnsi="Gill Sans MT"/>
          <w:lang w:val="en-US"/>
        </w:rPr>
        <w:t xml:space="preserve"> in 5 regions of Senegal.</w:t>
      </w:r>
      <w:r>
        <w:rPr>
          <w:rFonts w:ascii="Gill Sans MT" w:hAnsi="Gill Sans MT"/>
          <w:lang w:val="en-US"/>
        </w:rPr>
        <w:t xml:space="preserve"> 12,587 children (1,817 girls and 10,770 boys) have benefits from this mechanism. </w:t>
      </w:r>
      <w:r w:rsidRPr="00E36C9B">
        <w:rPr>
          <w:rFonts w:ascii="Gill Sans MT" w:hAnsi="Gill Sans MT"/>
          <w:lang w:val="en-US"/>
        </w:rPr>
        <w:t xml:space="preserve"> In the process, clear roles and responsibilities were defined among multi-sectoral organizations including the police, referral hospitals, pro-bono lawyers, and paralegals, women and children’s’ organizations and NGOs. </w:t>
      </w:r>
    </w:p>
    <w:p w14:paraId="3C617A6C" w14:textId="77777777" w:rsidR="002D223E"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lang w:val="en-US"/>
        </w:rPr>
      </w:pPr>
      <w:r>
        <w:rPr>
          <w:rFonts w:ascii="Gill Sans MT" w:hAnsi="Gill Sans MT"/>
          <w:lang w:val="en-US"/>
        </w:rPr>
        <w:lastRenderedPageBreak/>
        <w:t>21</w:t>
      </w:r>
      <w:r w:rsidR="00BD0EA1">
        <w:rPr>
          <w:rFonts w:ascii="Gill Sans MT" w:hAnsi="Gill Sans MT"/>
          <w:lang w:val="en-US"/>
        </w:rPr>
        <w:t>,</w:t>
      </w:r>
      <w:r>
        <w:rPr>
          <w:rFonts w:ascii="Gill Sans MT" w:hAnsi="Gill Sans MT"/>
          <w:lang w:val="en-US"/>
        </w:rPr>
        <w:t xml:space="preserve">596 </w:t>
      </w:r>
      <w:r w:rsidRPr="000575B6">
        <w:rPr>
          <w:rFonts w:ascii="Gill Sans MT" w:hAnsi="Gill Sans MT"/>
          <w:lang w:val="en-US"/>
        </w:rPr>
        <w:t>adult</w:t>
      </w:r>
      <w:r>
        <w:rPr>
          <w:rFonts w:ascii="Gill Sans MT" w:hAnsi="Gill Sans MT"/>
          <w:lang w:val="en-US"/>
        </w:rPr>
        <w:t xml:space="preserve"> (1</w:t>
      </w:r>
      <w:r w:rsidR="00BD0EA1">
        <w:rPr>
          <w:rFonts w:ascii="Gill Sans MT" w:hAnsi="Gill Sans MT"/>
          <w:lang w:val="en-US"/>
        </w:rPr>
        <w:t>,123 w</w:t>
      </w:r>
      <w:r>
        <w:rPr>
          <w:rFonts w:ascii="Gill Sans MT" w:hAnsi="Gill Sans MT"/>
          <w:lang w:val="en-US"/>
        </w:rPr>
        <w:t>omen and 20</w:t>
      </w:r>
      <w:r w:rsidR="00BD0EA1">
        <w:rPr>
          <w:rFonts w:ascii="Gill Sans MT" w:hAnsi="Gill Sans MT"/>
          <w:lang w:val="en-US"/>
        </w:rPr>
        <w:t>,473 m</w:t>
      </w:r>
      <w:r>
        <w:rPr>
          <w:rFonts w:ascii="Gill Sans MT" w:hAnsi="Gill Sans MT"/>
          <w:lang w:val="en-US"/>
        </w:rPr>
        <w:t>en)</w:t>
      </w:r>
      <w:r w:rsidRPr="000575B6">
        <w:rPr>
          <w:rFonts w:ascii="Gill Sans MT" w:hAnsi="Gill Sans MT"/>
          <w:lang w:val="en-US"/>
        </w:rPr>
        <w:t xml:space="preserve"> community members and </w:t>
      </w:r>
      <w:r>
        <w:rPr>
          <w:rFonts w:ascii="Gill Sans MT" w:hAnsi="Gill Sans MT"/>
          <w:lang w:val="en-US"/>
        </w:rPr>
        <w:t>5</w:t>
      </w:r>
      <w:r w:rsidR="00BD0EA1">
        <w:rPr>
          <w:rFonts w:ascii="Gill Sans MT" w:hAnsi="Gill Sans MT"/>
          <w:lang w:val="en-US"/>
        </w:rPr>
        <w:t>,</w:t>
      </w:r>
      <w:r>
        <w:rPr>
          <w:rFonts w:ascii="Gill Sans MT" w:hAnsi="Gill Sans MT"/>
          <w:lang w:val="en-US"/>
        </w:rPr>
        <w:t>437</w:t>
      </w:r>
      <w:r w:rsidRPr="000575B6">
        <w:rPr>
          <w:rFonts w:ascii="Gill Sans MT" w:hAnsi="Gill Sans MT"/>
          <w:lang w:val="en-US"/>
        </w:rPr>
        <w:t xml:space="preserve"> children</w:t>
      </w:r>
      <w:r>
        <w:rPr>
          <w:rFonts w:ascii="Gill Sans MT" w:hAnsi="Gill Sans MT"/>
          <w:lang w:val="en-US"/>
        </w:rPr>
        <w:t xml:space="preserve"> (1</w:t>
      </w:r>
      <w:r w:rsidR="00BD0EA1">
        <w:rPr>
          <w:rFonts w:ascii="Gill Sans MT" w:hAnsi="Gill Sans MT"/>
          <w:lang w:val="en-US"/>
        </w:rPr>
        <w:t>,</w:t>
      </w:r>
      <w:r>
        <w:rPr>
          <w:rFonts w:ascii="Gill Sans MT" w:hAnsi="Gill Sans MT"/>
          <w:lang w:val="en-US"/>
        </w:rPr>
        <w:t>855 girls and 3</w:t>
      </w:r>
      <w:r w:rsidR="00BD0EA1">
        <w:rPr>
          <w:rFonts w:ascii="Gill Sans MT" w:hAnsi="Gill Sans MT"/>
          <w:lang w:val="en-US"/>
        </w:rPr>
        <w:t>,</w:t>
      </w:r>
      <w:r>
        <w:rPr>
          <w:rFonts w:ascii="Gill Sans MT" w:hAnsi="Gill Sans MT"/>
          <w:lang w:val="en-US"/>
        </w:rPr>
        <w:t>582 boys)</w:t>
      </w:r>
      <w:r w:rsidRPr="000575B6">
        <w:rPr>
          <w:rFonts w:ascii="Gill Sans MT" w:hAnsi="Gill Sans MT"/>
          <w:lang w:val="en-US"/>
        </w:rPr>
        <w:t xml:space="preserve"> participated in ongoing community dialogue and discussion forums on the prevention and reporting of child sexual abuse and exploitation</w:t>
      </w:r>
    </w:p>
    <w:p w14:paraId="02A257EE" w14:textId="77777777" w:rsidR="002D223E" w:rsidRPr="00E36C9B" w:rsidRDefault="002D223E" w:rsidP="002D223E">
      <w:pPr>
        <w:pStyle w:val="ListParagraph"/>
        <w:numPr>
          <w:ilvl w:val="0"/>
          <w:numId w:val="12"/>
        </w:numPr>
        <w:pBdr>
          <w:top w:val="single" w:sz="4" w:space="1" w:color="auto"/>
          <w:left w:val="single" w:sz="4" w:space="4" w:color="auto"/>
          <w:bottom w:val="single" w:sz="4" w:space="31" w:color="auto"/>
          <w:right w:val="single" w:sz="4" w:space="3" w:color="auto"/>
        </w:pBdr>
        <w:spacing w:after="200"/>
        <w:jc w:val="both"/>
        <w:rPr>
          <w:rFonts w:ascii="Gill Sans MT" w:hAnsi="Gill Sans MT"/>
          <w:lang w:val="en-US"/>
        </w:rPr>
      </w:pPr>
      <w:r>
        <w:rPr>
          <w:rFonts w:ascii="Gill Sans MT" w:hAnsi="Gill Sans MT"/>
          <w:lang w:val="en-US"/>
        </w:rPr>
        <w:t>837</w:t>
      </w:r>
      <w:r w:rsidRPr="00E36C9B">
        <w:rPr>
          <w:rFonts w:ascii="Gill Sans MT" w:hAnsi="Gill Sans MT"/>
          <w:lang w:val="en-US"/>
        </w:rPr>
        <w:t xml:space="preserve"> </w:t>
      </w:r>
      <w:r w:rsidRPr="00E36C9B">
        <w:rPr>
          <w:rFonts w:ascii="Gill Sans MT" w:hAnsi="Gill Sans MT"/>
          <w:b/>
          <w:lang w:val="en-US"/>
        </w:rPr>
        <w:t>girl survivors of sexual abuse and sexual exploitation</w:t>
      </w:r>
      <w:r w:rsidRPr="00E36C9B">
        <w:rPr>
          <w:rFonts w:ascii="Gill Sans MT" w:hAnsi="Gill Sans MT"/>
          <w:lang w:val="en-US"/>
        </w:rPr>
        <w:t xml:space="preserve"> have been provided with counselling, safe shelter, medical support and legal representation, and have resumed their sc</w:t>
      </w:r>
      <w:r w:rsidR="00BD0EA1">
        <w:rPr>
          <w:rFonts w:ascii="Gill Sans MT" w:hAnsi="Gill Sans MT"/>
          <w:lang w:val="en-US"/>
        </w:rPr>
        <w:t>hooling in Senegal, Guinea and t</w:t>
      </w:r>
      <w:r w:rsidRPr="00E36C9B">
        <w:rPr>
          <w:rFonts w:ascii="Gill Sans MT" w:hAnsi="Gill Sans MT"/>
          <w:lang w:val="en-US"/>
        </w:rPr>
        <w:t xml:space="preserve">he Gambia. </w:t>
      </w:r>
    </w:p>
    <w:p w14:paraId="2913FF02" w14:textId="77777777" w:rsidR="002D223E" w:rsidRPr="009D557C" w:rsidRDefault="002D223E" w:rsidP="002D223E">
      <w:pPr>
        <w:pBdr>
          <w:top w:val="single" w:sz="4" w:space="1" w:color="auto"/>
          <w:left w:val="single" w:sz="4" w:space="4" w:color="auto"/>
          <w:bottom w:val="single" w:sz="4" w:space="31" w:color="auto"/>
          <w:right w:val="single" w:sz="4" w:space="4" w:color="auto"/>
        </w:pBdr>
        <w:rPr>
          <w:rFonts w:ascii="Gill Sans MT" w:hAnsi="Gill Sans MT"/>
          <w:b/>
          <w:i/>
          <w:lang w:val="en-US"/>
        </w:rPr>
      </w:pPr>
      <w:r w:rsidRPr="009D557C">
        <w:rPr>
          <w:rFonts w:ascii="Gill Sans MT" w:hAnsi="Gill Sans MT"/>
          <w:b/>
          <w:i/>
          <w:lang w:val="en-US"/>
        </w:rPr>
        <w:t>Protect</w:t>
      </w:r>
      <w:r>
        <w:rPr>
          <w:rFonts w:ascii="Gill Sans MT" w:hAnsi="Gill Sans MT"/>
          <w:b/>
          <w:i/>
          <w:lang w:val="en-US"/>
        </w:rPr>
        <w:t>ion</w:t>
      </w:r>
      <w:r w:rsidRPr="009D557C">
        <w:rPr>
          <w:rFonts w:ascii="Gill Sans MT" w:hAnsi="Gill Sans MT"/>
          <w:b/>
          <w:i/>
          <w:lang w:val="en-US"/>
        </w:rPr>
        <w:t xml:space="preserve"> against physical and humiliating punishment </w:t>
      </w:r>
    </w:p>
    <w:p w14:paraId="7F2AB662" w14:textId="77777777" w:rsidR="002D223E" w:rsidRPr="00E36C9B" w:rsidRDefault="002D223E" w:rsidP="002D223E">
      <w:pPr>
        <w:pStyle w:val="ListParagraph"/>
        <w:numPr>
          <w:ilvl w:val="0"/>
          <w:numId w:val="12"/>
        </w:numPr>
        <w:pBdr>
          <w:top w:val="single" w:sz="4" w:space="1" w:color="auto"/>
          <w:left w:val="single" w:sz="4" w:space="4" w:color="auto"/>
          <w:bottom w:val="single" w:sz="4" w:space="31" w:color="auto"/>
          <w:right w:val="single" w:sz="4" w:space="4" w:color="auto"/>
        </w:pBdr>
        <w:spacing w:after="200"/>
        <w:jc w:val="both"/>
        <w:rPr>
          <w:rFonts w:ascii="Gill Sans MT" w:hAnsi="Gill Sans MT"/>
          <w:lang w:val="en-US"/>
        </w:rPr>
      </w:pPr>
      <w:r w:rsidRPr="00E36C9B">
        <w:rPr>
          <w:rFonts w:ascii="Gill Sans MT" w:hAnsi="Gill Sans MT"/>
          <w:lang w:val="en-US"/>
        </w:rPr>
        <w:t xml:space="preserve">31 teachers and parents selected from schools in 5 regions in The Gambia have acquired the skills and competencies of positive parenting and managing behaviors of children </w:t>
      </w:r>
    </w:p>
    <w:p w14:paraId="24A3C976" w14:textId="77777777" w:rsidR="002D223E" w:rsidRPr="00E36C9B" w:rsidRDefault="00BD0EA1" w:rsidP="002D223E">
      <w:pPr>
        <w:pStyle w:val="ListParagraph"/>
        <w:numPr>
          <w:ilvl w:val="0"/>
          <w:numId w:val="12"/>
        </w:numPr>
        <w:pBdr>
          <w:top w:val="single" w:sz="4" w:space="1" w:color="auto"/>
          <w:left w:val="single" w:sz="4" w:space="4" w:color="auto"/>
          <w:bottom w:val="single" w:sz="4" w:space="31" w:color="auto"/>
          <w:right w:val="single" w:sz="4" w:space="4" w:color="auto"/>
        </w:pBdr>
        <w:spacing w:after="200"/>
        <w:jc w:val="both"/>
        <w:rPr>
          <w:rFonts w:ascii="Gill Sans MT" w:hAnsi="Gill Sans MT"/>
          <w:lang w:val="en-US"/>
        </w:rPr>
      </w:pPr>
      <w:r>
        <w:rPr>
          <w:rFonts w:ascii="Gill Sans MT" w:hAnsi="Gill Sans MT"/>
          <w:lang w:val="en-US"/>
        </w:rPr>
        <w:t>897 (474 women and 423 m</w:t>
      </w:r>
      <w:r w:rsidR="002D223E">
        <w:rPr>
          <w:rFonts w:ascii="Gill Sans MT" w:hAnsi="Gill Sans MT"/>
          <w:lang w:val="en-US"/>
        </w:rPr>
        <w:t>en)</w:t>
      </w:r>
      <w:r w:rsidR="002D223E" w:rsidRPr="007E2858">
        <w:rPr>
          <w:rFonts w:ascii="Gill Sans MT" w:hAnsi="Gill Sans MT"/>
          <w:lang w:val="en-US"/>
        </w:rPr>
        <w:t xml:space="preserve"> </w:t>
      </w:r>
      <w:r>
        <w:rPr>
          <w:rFonts w:ascii="Gill Sans MT" w:hAnsi="Gill Sans MT"/>
          <w:lang w:val="en-US"/>
        </w:rPr>
        <w:t>m</w:t>
      </w:r>
      <w:r w:rsidR="002D223E" w:rsidRPr="007E2858">
        <w:rPr>
          <w:rFonts w:ascii="Gill Sans MT" w:hAnsi="Gill Sans MT"/>
          <w:lang w:val="en-US"/>
        </w:rPr>
        <w:t xml:space="preserve">embers of </w:t>
      </w:r>
      <w:r w:rsidR="002D223E" w:rsidRPr="00E151B7">
        <w:rPr>
          <w:rFonts w:ascii="Gill Sans MT" w:hAnsi="Gill Sans MT"/>
          <w:lang w:val="en-US"/>
        </w:rPr>
        <w:t xml:space="preserve">model parenting groups and </w:t>
      </w:r>
      <w:r w:rsidR="002D223E">
        <w:rPr>
          <w:rFonts w:ascii="Gill Sans MT" w:hAnsi="Gill Sans MT"/>
          <w:lang w:val="en-US"/>
        </w:rPr>
        <w:t xml:space="preserve">75 craftsmen have developed skills on </w:t>
      </w:r>
      <w:r w:rsidR="002D223E" w:rsidRPr="00E151B7">
        <w:rPr>
          <w:rFonts w:ascii="Gill Sans MT" w:hAnsi="Gill Sans MT"/>
          <w:lang w:val="en-US"/>
        </w:rPr>
        <w:t>positive child discip</w:t>
      </w:r>
      <w:r w:rsidR="002D223E">
        <w:rPr>
          <w:rFonts w:ascii="Gill Sans MT" w:hAnsi="Gill Sans MT"/>
          <w:lang w:val="en-US"/>
        </w:rPr>
        <w:t>l</w:t>
      </w:r>
      <w:r>
        <w:rPr>
          <w:rFonts w:ascii="Gill Sans MT" w:hAnsi="Gill Sans MT"/>
          <w:lang w:val="en-US"/>
        </w:rPr>
        <w:t>in</w:t>
      </w:r>
      <w:r w:rsidR="002D223E">
        <w:rPr>
          <w:rFonts w:ascii="Gill Sans MT" w:hAnsi="Gill Sans MT"/>
          <w:lang w:val="en-US"/>
        </w:rPr>
        <w:t xml:space="preserve">e, </w:t>
      </w:r>
      <w:r w:rsidR="002D223E" w:rsidRPr="00E36C9B">
        <w:rPr>
          <w:rFonts w:ascii="Gill Sans MT" w:hAnsi="Gill Sans MT"/>
          <w:lang w:val="en-US"/>
        </w:rPr>
        <w:t>acquired knowledge on the harmful effects of physical and humiliating punishment and as a result put in place a code of conduct</w:t>
      </w:r>
      <w:r>
        <w:rPr>
          <w:rFonts w:ascii="Gill Sans MT" w:hAnsi="Gill Sans MT"/>
          <w:lang w:val="en-US"/>
        </w:rPr>
        <w:t xml:space="preserve">. </w:t>
      </w:r>
      <w:r w:rsidR="002D223E" w:rsidRPr="00E36C9B">
        <w:rPr>
          <w:rFonts w:ascii="Gill Sans MT" w:hAnsi="Gill Sans MT"/>
          <w:lang w:val="en-US"/>
        </w:rPr>
        <w:t xml:space="preserve"> </w:t>
      </w:r>
    </w:p>
    <w:p w14:paraId="3A747116" w14:textId="77777777" w:rsidR="002D223E" w:rsidRPr="00047B23" w:rsidRDefault="002D223E" w:rsidP="002D223E">
      <w:pPr>
        <w:pBdr>
          <w:top w:val="single" w:sz="4" w:space="1" w:color="auto"/>
          <w:left w:val="single" w:sz="4" w:space="4" w:color="auto"/>
          <w:bottom w:val="single" w:sz="4" w:space="31" w:color="auto"/>
          <w:right w:val="single" w:sz="4" w:space="4" w:color="auto"/>
        </w:pBdr>
        <w:rPr>
          <w:rFonts w:ascii="Gill Sans MT" w:hAnsi="Gill Sans MT"/>
          <w:b/>
          <w:i/>
          <w:lang w:val="en-US"/>
        </w:rPr>
      </w:pPr>
      <w:r w:rsidRPr="00047B23">
        <w:rPr>
          <w:rFonts w:ascii="Gill Sans MT" w:hAnsi="Gill Sans MT"/>
          <w:b/>
          <w:i/>
          <w:lang w:val="en-US"/>
        </w:rPr>
        <w:t xml:space="preserve">Violence against children in armed conflicts </w:t>
      </w:r>
    </w:p>
    <w:p w14:paraId="20231BD5" w14:textId="77777777" w:rsidR="002D223E" w:rsidRPr="00047B23" w:rsidRDefault="002D223E" w:rsidP="002D223E">
      <w:pPr>
        <w:pStyle w:val="ListParagraph"/>
        <w:numPr>
          <w:ilvl w:val="0"/>
          <w:numId w:val="12"/>
        </w:numPr>
        <w:pBdr>
          <w:top w:val="single" w:sz="4" w:space="1" w:color="auto"/>
          <w:left w:val="single" w:sz="4" w:space="4" w:color="auto"/>
          <w:bottom w:val="single" w:sz="4" w:space="31" w:color="auto"/>
          <w:right w:val="single" w:sz="4" w:space="4" w:color="auto"/>
        </w:pBdr>
        <w:spacing w:after="200"/>
        <w:jc w:val="both"/>
        <w:rPr>
          <w:rFonts w:ascii="Gill Sans MT" w:hAnsi="Gill Sans MT"/>
          <w:lang w:val="en-US"/>
        </w:rPr>
      </w:pPr>
      <w:r w:rsidRPr="00E151B7">
        <w:rPr>
          <w:rFonts w:ascii="Gill Sans MT" w:hAnsi="Gill Sans MT"/>
          <w:lang w:val="en-US"/>
        </w:rPr>
        <w:t xml:space="preserve">Based on a comprehensive </w:t>
      </w:r>
      <w:r>
        <w:rPr>
          <w:rFonts w:ascii="Gill Sans MT" w:hAnsi="Gill Sans MT"/>
          <w:lang w:val="en-US"/>
        </w:rPr>
        <w:t xml:space="preserve">and context-specific </w:t>
      </w:r>
      <w:r w:rsidRPr="00533385">
        <w:rPr>
          <w:rFonts w:ascii="Gill Sans MT" w:hAnsi="Gill Sans MT"/>
          <w:lang w:val="en-US"/>
        </w:rPr>
        <w:t>knowledge assessment</w:t>
      </w:r>
      <w:r>
        <w:rPr>
          <w:rFonts w:ascii="Gill Sans MT" w:hAnsi="Gill Sans MT"/>
          <w:lang w:val="en-US"/>
        </w:rPr>
        <w:t xml:space="preserve"> </w:t>
      </w:r>
      <w:r w:rsidRPr="00E151B7">
        <w:rPr>
          <w:rFonts w:ascii="Gill Sans MT" w:hAnsi="Gill Sans MT"/>
          <w:lang w:val="en-US"/>
        </w:rPr>
        <w:t>of child protection system</w:t>
      </w:r>
      <w:r>
        <w:rPr>
          <w:rFonts w:ascii="Gill Sans MT" w:hAnsi="Gill Sans MT"/>
          <w:lang w:val="en-US"/>
        </w:rPr>
        <w:t>s in Senegal, Guinea, and Togo</w:t>
      </w:r>
      <w:r w:rsidRPr="00E151B7">
        <w:rPr>
          <w:rFonts w:ascii="Gill Sans MT" w:hAnsi="Gill Sans MT"/>
          <w:lang w:val="en-US"/>
        </w:rPr>
        <w:t xml:space="preserve">, </w:t>
      </w:r>
      <w:r>
        <w:rPr>
          <w:rFonts w:ascii="Gill Sans MT" w:hAnsi="Gill Sans MT"/>
          <w:lang w:val="en-US"/>
        </w:rPr>
        <w:t>S</w:t>
      </w:r>
      <w:r w:rsidRPr="00E151B7">
        <w:rPr>
          <w:rFonts w:ascii="Gill Sans MT" w:hAnsi="Gill Sans MT"/>
          <w:lang w:val="en-US"/>
        </w:rPr>
        <w:t xml:space="preserve">ave the </w:t>
      </w:r>
      <w:r>
        <w:rPr>
          <w:rFonts w:ascii="Gill Sans MT" w:hAnsi="Gill Sans MT"/>
          <w:lang w:val="en-US"/>
        </w:rPr>
        <w:t>C</w:t>
      </w:r>
      <w:r w:rsidRPr="00E151B7">
        <w:rPr>
          <w:rFonts w:ascii="Gill Sans MT" w:hAnsi="Gill Sans MT"/>
          <w:lang w:val="en-US"/>
        </w:rPr>
        <w:t>hildren developed in partnership with IBCR and UNICEF six training too</w:t>
      </w:r>
      <w:r>
        <w:rPr>
          <w:rFonts w:ascii="Gill Sans MT" w:hAnsi="Gill Sans MT"/>
          <w:lang w:val="en-US"/>
        </w:rPr>
        <w:t xml:space="preserve">ls for each country to be permanently integrated in the initial training in </w:t>
      </w:r>
      <w:r w:rsidRPr="00047B23">
        <w:rPr>
          <w:rFonts w:ascii="Gill Sans MT" w:hAnsi="Gill Sans MT"/>
          <w:lang w:val="en-US"/>
        </w:rPr>
        <w:t xml:space="preserve">national police and gendarmerie training institutions </w:t>
      </w:r>
      <w:r>
        <w:rPr>
          <w:rFonts w:ascii="Gill Sans MT" w:hAnsi="Gill Sans MT"/>
          <w:lang w:val="en-US"/>
        </w:rPr>
        <w:t xml:space="preserve">in Guinea, Togo and Senegal. </w:t>
      </w:r>
    </w:p>
    <w:p w14:paraId="7DEF6EC0" w14:textId="77777777" w:rsidR="002D223E" w:rsidRDefault="002D223E" w:rsidP="002D223E">
      <w:pPr>
        <w:pStyle w:val="ListParagraph"/>
        <w:numPr>
          <w:ilvl w:val="0"/>
          <w:numId w:val="12"/>
        </w:numPr>
        <w:pBdr>
          <w:top w:val="single" w:sz="4" w:space="1" w:color="auto"/>
          <w:left w:val="single" w:sz="4" w:space="4" w:color="auto"/>
          <w:bottom w:val="single" w:sz="4" w:space="31" w:color="auto"/>
          <w:right w:val="single" w:sz="4" w:space="4" w:color="auto"/>
        </w:pBdr>
        <w:spacing w:after="200"/>
        <w:jc w:val="both"/>
        <w:rPr>
          <w:rFonts w:ascii="Gill Sans MT" w:hAnsi="Gill Sans MT"/>
          <w:lang w:val="en-US"/>
        </w:rPr>
      </w:pPr>
      <w:r>
        <w:rPr>
          <w:rFonts w:ascii="Gill Sans MT" w:hAnsi="Gill Sans MT"/>
          <w:lang w:val="en-US"/>
        </w:rPr>
        <w:t xml:space="preserve">A pool of </w:t>
      </w:r>
      <w:r w:rsidRPr="00617FC5">
        <w:rPr>
          <w:rFonts w:ascii="Gill Sans MT" w:hAnsi="Gill Sans MT"/>
          <w:lang w:val="en-US"/>
        </w:rPr>
        <w:t>100</w:t>
      </w:r>
      <w:r>
        <w:rPr>
          <w:rFonts w:ascii="Gill Sans MT" w:hAnsi="Gill Sans MT"/>
          <w:lang w:val="en-US"/>
        </w:rPr>
        <w:t xml:space="preserve"> trainers from national police and gendarmerie institutions</w:t>
      </w:r>
      <w:r w:rsidRPr="00047B23">
        <w:rPr>
          <w:rFonts w:ascii="Gill Sans MT" w:hAnsi="Gill Sans MT"/>
          <w:lang w:val="en-US"/>
        </w:rPr>
        <w:t xml:space="preserve"> </w:t>
      </w:r>
      <w:r>
        <w:rPr>
          <w:rFonts w:ascii="Gill Sans MT" w:hAnsi="Gill Sans MT"/>
          <w:lang w:val="en-US"/>
        </w:rPr>
        <w:t xml:space="preserve">in Guinea, Togo and Senegal capable of dispensing relevant skills and competencies to police and gendarmerie at national training institutions has been created </w:t>
      </w:r>
    </w:p>
    <w:p w14:paraId="6578BAAD" w14:textId="77777777" w:rsidR="002763F9" w:rsidRPr="00463D70" w:rsidRDefault="00463D70" w:rsidP="00D439F7">
      <w:pPr>
        <w:pStyle w:val="ListParagraph"/>
        <w:numPr>
          <w:ilvl w:val="0"/>
          <w:numId w:val="12"/>
        </w:numPr>
        <w:pBdr>
          <w:top w:val="single" w:sz="4" w:space="1" w:color="auto"/>
          <w:left w:val="single" w:sz="4" w:space="4" w:color="auto"/>
          <w:bottom w:val="single" w:sz="4" w:space="31" w:color="auto"/>
          <w:right w:val="single" w:sz="4" w:space="4" w:color="auto"/>
        </w:pBdr>
        <w:spacing w:after="200"/>
        <w:jc w:val="both"/>
        <w:rPr>
          <w:rFonts w:ascii="Gill Sans MT" w:hAnsi="Gill Sans MT"/>
          <w:lang w:val="en-US"/>
        </w:rPr>
      </w:pPr>
      <w:r w:rsidRPr="00463D70">
        <w:rPr>
          <w:rFonts w:ascii="Gill Sans MT" w:hAnsi="Gill Sans MT"/>
          <w:lang w:val="en-US"/>
        </w:rPr>
        <w:t>Recommendations and a plan of action for permanently integrating child protection into the training curricula of armed  forces in West Africa has been elaborated by military experts</w:t>
      </w:r>
    </w:p>
    <w:p w14:paraId="639E7382" w14:textId="77777777" w:rsidR="002D223E" w:rsidRPr="001503EF" w:rsidRDefault="002D223E" w:rsidP="002D223E">
      <w:pPr>
        <w:pStyle w:val="ListParagraph"/>
        <w:numPr>
          <w:ilvl w:val="0"/>
          <w:numId w:val="12"/>
        </w:numPr>
        <w:pBdr>
          <w:top w:val="single" w:sz="4" w:space="1" w:color="auto"/>
          <w:left w:val="single" w:sz="4" w:space="4" w:color="auto"/>
          <w:bottom w:val="single" w:sz="4" w:space="31" w:color="auto"/>
          <w:right w:val="single" w:sz="4" w:space="4" w:color="auto"/>
        </w:pBdr>
        <w:spacing w:after="200"/>
        <w:jc w:val="both"/>
        <w:rPr>
          <w:rFonts w:ascii="Gill Sans MT" w:hAnsi="Gill Sans MT"/>
          <w:lang w:val="en-US"/>
        </w:rPr>
      </w:pPr>
      <w:r>
        <w:rPr>
          <w:rFonts w:ascii="Gill Sans MT" w:hAnsi="Gill Sans MT"/>
          <w:lang w:val="en-US"/>
        </w:rPr>
        <w:t>A pool of 18 trainers among ministry of family and social affairs, CSO and Save the Children staff, capable of undertaking child protection rapid assessments in emergencies has been created.</w:t>
      </w:r>
    </w:p>
    <w:p w14:paraId="50C23B4F" w14:textId="77777777" w:rsidR="002D223E" w:rsidRDefault="002D223E" w:rsidP="002D223E">
      <w:pPr>
        <w:pBdr>
          <w:top w:val="single" w:sz="4" w:space="1" w:color="auto"/>
          <w:left w:val="single" w:sz="4" w:space="4" w:color="auto"/>
          <w:bottom w:val="single" w:sz="4" w:space="31" w:color="auto"/>
          <w:right w:val="single" w:sz="4" w:space="4" w:color="auto"/>
        </w:pBdr>
        <w:rPr>
          <w:rFonts w:ascii="Gill Sans MT" w:hAnsi="Gill Sans MT"/>
          <w:b/>
          <w:i/>
          <w:lang w:val="en-US"/>
        </w:rPr>
      </w:pPr>
      <w:r w:rsidRPr="00047B23">
        <w:rPr>
          <w:rFonts w:ascii="Gill Sans MT" w:hAnsi="Gill Sans MT"/>
          <w:b/>
          <w:i/>
          <w:lang w:val="en-US"/>
        </w:rPr>
        <w:t xml:space="preserve">Lessons learnt </w:t>
      </w:r>
    </w:p>
    <w:p w14:paraId="466A33EB" w14:textId="77777777" w:rsidR="002D223E" w:rsidRDefault="002D223E" w:rsidP="002D223E">
      <w:pPr>
        <w:pStyle w:val="ListParagraph"/>
        <w:numPr>
          <w:ilvl w:val="0"/>
          <w:numId w:val="12"/>
        </w:numPr>
        <w:pBdr>
          <w:top w:val="single" w:sz="4" w:space="1" w:color="auto"/>
          <w:left w:val="single" w:sz="4" w:space="4" w:color="auto"/>
          <w:bottom w:val="single" w:sz="4" w:space="31" w:color="auto"/>
          <w:right w:val="single" w:sz="4" w:space="4" w:color="auto"/>
        </w:pBdr>
        <w:spacing w:after="200"/>
        <w:jc w:val="both"/>
        <w:rPr>
          <w:rFonts w:ascii="Gill Sans MT" w:hAnsi="Gill Sans MT"/>
          <w:lang w:val="en-US"/>
        </w:rPr>
      </w:pPr>
      <w:r w:rsidRPr="00617FC5">
        <w:rPr>
          <w:rFonts w:ascii="Gill Sans MT" w:hAnsi="Gill Sans MT"/>
          <w:lang w:val="en-US"/>
        </w:rPr>
        <w:t xml:space="preserve">Evidence-based research on children’s clubs are key in </w:t>
      </w:r>
      <w:r>
        <w:rPr>
          <w:rFonts w:ascii="Gill Sans MT" w:hAnsi="Gill Sans MT"/>
          <w:lang w:val="en-US"/>
        </w:rPr>
        <w:t>achieving</w:t>
      </w:r>
      <w:r w:rsidRPr="00617FC5">
        <w:rPr>
          <w:rFonts w:ascii="Gill Sans MT" w:hAnsi="Gill Sans MT"/>
          <w:lang w:val="en-US"/>
        </w:rPr>
        <w:t xml:space="preserve"> </w:t>
      </w:r>
      <w:r>
        <w:rPr>
          <w:rFonts w:ascii="Gill Sans MT" w:hAnsi="Gill Sans MT"/>
          <w:lang w:val="en-US"/>
        </w:rPr>
        <w:t>the</w:t>
      </w:r>
      <w:r w:rsidRPr="00617FC5">
        <w:rPr>
          <w:rFonts w:ascii="Gill Sans MT" w:hAnsi="Gill Sans MT"/>
          <w:lang w:val="en-US"/>
        </w:rPr>
        <w:t xml:space="preserve"> official recognition of children’s groups as actors within child p</w:t>
      </w:r>
      <w:r>
        <w:rPr>
          <w:rFonts w:ascii="Gill Sans MT" w:hAnsi="Gill Sans MT"/>
          <w:lang w:val="en-US"/>
        </w:rPr>
        <w:t>rotection at the national level.</w:t>
      </w:r>
    </w:p>
    <w:p w14:paraId="73569FA0" w14:textId="77777777" w:rsidR="002D223E" w:rsidRPr="00617FC5" w:rsidRDefault="002D223E" w:rsidP="002D223E">
      <w:pPr>
        <w:pStyle w:val="ListParagraph"/>
        <w:numPr>
          <w:ilvl w:val="0"/>
          <w:numId w:val="12"/>
        </w:numPr>
        <w:pBdr>
          <w:top w:val="single" w:sz="4" w:space="1" w:color="auto"/>
          <w:left w:val="single" w:sz="4" w:space="4" w:color="auto"/>
          <w:bottom w:val="single" w:sz="4" w:space="31" w:color="auto"/>
          <w:right w:val="single" w:sz="4" w:space="4" w:color="auto"/>
        </w:pBdr>
        <w:spacing w:after="200"/>
        <w:jc w:val="both"/>
        <w:rPr>
          <w:rFonts w:ascii="Gill Sans MT" w:hAnsi="Gill Sans MT"/>
          <w:lang w:val="en-US"/>
        </w:rPr>
      </w:pPr>
      <w:r w:rsidRPr="006E7770">
        <w:rPr>
          <w:rFonts w:ascii="Gill Sans MT" w:hAnsi="Gill Sans MT"/>
          <w:lang w:val="en-US"/>
        </w:rPr>
        <w:t xml:space="preserve">In order to ensure </w:t>
      </w:r>
      <w:r w:rsidRPr="006E7770">
        <w:rPr>
          <w:rFonts w:ascii="Gill Sans MT" w:hAnsi="Gill Sans MT" w:cs="Calibri"/>
          <w:color w:val="000000"/>
          <w:lang w:val="en-US"/>
        </w:rPr>
        <w:t>permanent and effective integration of child rights and child protection training into the curricula of the national police and gendarmerie schools, a systems-based approach, rather than a focus on key policy and decision-makers is needed</w:t>
      </w:r>
      <w:r>
        <w:rPr>
          <w:rFonts w:ascii="Gill Sans MT" w:hAnsi="Gill Sans MT" w:cs="Calibri"/>
          <w:color w:val="000000"/>
          <w:lang w:val="en-US"/>
        </w:rPr>
        <w:t xml:space="preserve">. </w:t>
      </w:r>
    </w:p>
    <w:p w14:paraId="5D36B47C" w14:textId="77777777" w:rsidR="007176A4" w:rsidRPr="00BD0EA1" w:rsidRDefault="002D223E" w:rsidP="00BD0EA1">
      <w:pPr>
        <w:jc w:val="both"/>
        <w:rPr>
          <w:rFonts w:ascii="Gill Sans MT" w:hAnsi="Gill Sans MT" w:cstheme="minorHAnsi"/>
          <w:b/>
        </w:rPr>
      </w:pPr>
      <w:r w:rsidRPr="006E7770">
        <w:rPr>
          <w:rFonts w:ascii="Gill Sans MT" w:hAnsi="Gill Sans MT" w:cstheme="minorHAnsi"/>
          <w:b/>
        </w:rPr>
        <w:br w:type="page"/>
      </w:r>
    </w:p>
    <w:p w14:paraId="16B6E087" w14:textId="77777777" w:rsidR="00A325D2" w:rsidRPr="006D30D0" w:rsidRDefault="00A325D2" w:rsidP="00A325D2">
      <w:pPr>
        <w:jc w:val="both"/>
        <w:rPr>
          <w:rFonts w:ascii="Gill Sans MT" w:hAnsi="Gill Sans MT" w:cstheme="minorHAnsi"/>
          <w:b/>
        </w:rPr>
      </w:pPr>
    </w:p>
    <w:p w14:paraId="00D0489B" w14:textId="77777777" w:rsidR="00A325D2" w:rsidRPr="006D30D0" w:rsidRDefault="00A325D2" w:rsidP="00A325D2">
      <w:pPr>
        <w:pBdr>
          <w:top w:val="single" w:sz="4" w:space="1" w:color="auto"/>
          <w:left w:val="single" w:sz="4" w:space="4" w:color="auto"/>
          <w:bottom w:val="single" w:sz="4" w:space="31" w:color="auto"/>
          <w:right w:val="single" w:sz="4" w:space="4" w:color="auto"/>
        </w:pBdr>
        <w:rPr>
          <w:rFonts w:ascii="Gill Sans MT" w:hAnsi="Gill Sans MT" w:cstheme="minorHAnsi"/>
          <w:i/>
        </w:rPr>
      </w:pPr>
      <w:r>
        <w:rPr>
          <w:rFonts w:ascii="Gill Sans MT" w:hAnsi="Gill Sans MT" w:cstheme="minorHAnsi"/>
          <w:i/>
          <w:highlight w:val="lightGray"/>
        </w:rPr>
        <w:t xml:space="preserve">Theme Area II </w:t>
      </w:r>
      <w:r w:rsidR="009D7B1F">
        <w:rPr>
          <w:rFonts w:ascii="Gill Sans MT" w:hAnsi="Gill Sans MT" w:cstheme="minorHAnsi"/>
          <w:i/>
          <w:highlight w:val="lightGray"/>
        </w:rPr>
        <w:t>–</w:t>
      </w:r>
      <w:r>
        <w:rPr>
          <w:rFonts w:ascii="Gill Sans MT" w:hAnsi="Gill Sans MT" w:cstheme="minorHAnsi"/>
          <w:i/>
          <w:highlight w:val="lightGray"/>
        </w:rPr>
        <w:t xml:space="preserve"> </w:t>
      </w:r>
      <w:r w:rsidR="007176A4">
        <w:rPr>
          <w:rFonts w:ascii="Gill Sans MT" w:hAnsi="Gill Sans MT" w:cstheme="minorHAnsi"/>
          <w:i/>
          <w:highlight w:val="lightGray"/>
        </w:rPr>
        <w:t>Child Rights Governance</w:t>
      </w:r>
    </w:p>
    <w:p w14:paraId="517E0034" w14:textId="77777777" w:rsidR="00D474E2" w:rsidRDefault="00D474E2" w:rsidP="000E5725">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p>
    <w:p w14:paraId="69DAB6F0" w14:textId="77777777" w:rsidR="00D474E2" w:rsidRPr="00D474E2" w:rsidRDefault="00D474E2" w:rsidP="00F2542C">
      <w:pPr>
        <w:pBdr>
          <w:top w:val="single" w:sz="4" w:space="1" w:color="auto"/>
          <w:left w:val="single" w:sz="4" w:space="4" w:color="auto"/>
          <w:bottom w:val="single" w:sz="4" w:space="31" w:color="auto"/>
          <w:right w:val="single" w:sz="4" w:space="4" w:color="auto"/>
        </w:pBdr>
        <w:rPr>
          <w:rFonts w:ascii="Gill Sans MT" w:hAnsi="Gill Sans MT" w:cstheme="minorHAnsi"/>
        </w:rPr>
      </w:pPr>
      <w:r w:rsidRPr="00D474E2">
        <w:rPr>
          <w:rFonts w:ascii="Gill Sans MT" w:hAnsi="Gill Sans MT" w:cstheme="minorHAnsi"/>
        </w:rPr>
        <w:t>In 2013, Child rights governance was the second largest programme of Save the Children in Senegal, representing</w:t>
      </w:r>
      <w:r w:rsidR="00F93635">
        <w:rPr>
          <w:rFonts w:ascii="Gill Sans MT" w:hAnsi="Gill Sans MT" w:cstheme="minorHAnsi"/>
        </w:rPr>
        <w:t xml:space="preserve"> $733,973 about</w:t>
      </w:r>
      <w:r w:rsidRPr="00D474E2">
        <w:rPr>
          <w:rFonts w:ascii="Gill Sans MT" w:hAnsi="Gill Sans MT" w:cstheme="minorHAnsi"/>
        </w:rPr>
        <w:t xml:space="preserve"> </w:t>
      </w:r>
      <w:r w:rsidR="0002488D">
        <w:rPr>
          <w:rFonts w:ascii="Gill Sans MT" w:hAnsi="Gill Sans MT" w:cstheme="minorHAnsi"/>
        </w:rPr>
        <w:t>16</w:t>
      </w:r>
      <w:r w:rsidR="00314DB2">
        <w:rPr>
          <w:rFonts w:ascii="Gill Sans MT" w:hAnsi="Gill Sans MT" w:cstheme="minorHAnsi"/>
        </w:rPr>
        <w:t>%</w:t>
      </w:r>
      <w:r w:rsidRPr="00D474E2">
        <w:rPr>
          <w:rFonts w:ascii="Gill Sans MT" w:hAnsi="Gill Sans MT" w:cstheme="minorHAnsi"/>
        </w:rPr>
        <w:t xml:space="preserve"> of the CO annual </w:t>
      </w:r>
      <w:r w:rsidR="0002488D">
        <w:rPr>
          <w:rFonts w:ascii="Gill Sans MT" w:hAnsi="Gill Sans MT" w:cstheme="minorHAnsi"/>
        </w:rPr>
        <w:t>spend</w:t>
      </w:r>
      <w:r w:rsidRPr="00D474E2">
        <w:rPr>
          <w:rFonts w:ascii="Gill Sans MT" w:hAnsi="Gill Sans MT" w:cstheme="minorHAnsi"/>
        </w:rPr>
        <w:t>. With our partners, we have intervened</w:t>
      </w:r>
      <w:r w:rsidR="00A205DB">
        <w:rPr>
          <w:rFonts w:ascii="Gill Sans MT" w:hAnsi="Gill Sans MT" w:cstheme="minorHAnsi"/>
        </w:rPr>
        <w:t xml:space="preserve"> </w:t>
      </w:r>
      <w:r w:rsidRPr="00D474E2">
        <w:rPr>
          <w:rFonts w:ascii="Gill Sans MT" w:hAnsi="Gill Sans MT" w:cstheme="minorHAnsi"/>
        </w:rPr>
        <w:t xml:space="preserve">on all CRG sub-themes: CRC Monitoring (15), Strengthening National Systems (16), and Building awareness and capacity (17).  </w:t>
      </w:r>
    </w:p>
    <w:p w14:paraId="06A8F7A6" w14:textId="77777777" w:rsidR="00D474E2" w:rsidRPr="00463D70" w:rsidRDefault="00D474E2" w:rsidP="00F2542C">
      <w:pPr>
        <w:pBdr>
          <w:top w:val="single" w:sz="4" w:space="1" w:color="auto"/>
          <w:left w:val="single" w:sz="4" w:space="4" w:color="auto"/>
          <w:bottom w:val="single" w:sz="4" w:space="31" w:color="auto"/>
          <w:right w:val="single" w:sz="4" w:space="4" w:color="auto"/>
        </w:pBdr>
        <w:rPr>
          <w:rFonts w:ascii="Gill Sans MT" w:hAnsi="Gill Sans MT" w:cstheme="minorHAnsi"/>
        </w:rPr>
      </w:pPr>
    </w:p>
    <w:p w14:paraId="1B314258"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In 2013, two CRG partners (CONAFE/Senegal and COLTE/Guinea) have </w:t>
      </w:r>
      <w:r w:rsidRPr="000E5725">
        <w:rPr>
          <w:rFonts w:ascii="Gill Sans MT" w:hAnsi="Gill Sans MT" w:cstheme="minorHAnsi"/>
          <w:b/>
          <w:lang w:val="en-US"/>
        </w:rPr>
        <w:t>successfully influenced their respective governments to submit their due reports on the CRC, the ACRWC and other human rights instruments</w:t>
      </w:r>
      <w:r w:rsidRPr="000E5725">
        <w:rPr>
          <w:rFonts w:ascii="Gill Sans MT" w:hAnsi="Gill Sans MT" w:cstheme="minorHAnsi"/>
          <w:lang w:val="en-US"/>
        </w:rPr>
        <w:t xml:space="preserve"> </w:t>
      </w:r>
    </w:p>
    <w:p w14:paraId="4BCAF5CC" w14:textId="77777777" w:rsidR="000E5725" w:rsidRPr="000E5725" w:rsidRDefault="000E5725" w:rsidP="00F2542C">
      <w:pPr>
        <w:numPr>
          <w:ilvl w:val="0"/>
          <w:numId w:val="2"/>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The Government of Guinea submitted its Initial Report on the ACRWC 15 years after the ratification of the document, thanks to a joint advocacy between our partner and the African Committee of Experts; </w:t>
      </w:r>
    </w:p>
    <w:p w14:paraId="4444660E" w14:textId="77777777" w:rsidR="000E5725" w:rsidRPr="000E5725" w:rsidRDefault="000E5725" w:rsidP="00F2542C">
      <w:pPr>
        <w:numPr>
          <w:ilvl w:val="0"/>
          <w:numId w:val="2"/>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Senegal has submitted its combined 3</w:t>
      </w:r>
      <w:r w:rsidRPr="000E5725">
        <w:rPr>
          <w:rFonts w:ascii="Gill Sans MT" w:hAnsi="Gill Sans MT" w:cstheme="minorHAnsi"/>
          <w:vertAlign w:val="superscript"/>
          <w:lang w:val="en-US"/>
        </w:rPr>
        <w:t>rd</w:t>
      </w:r>
      <w:r w:rsidRPr="000E5725">
        <w:rPr>
          <w:rFonts w:ascii="Gill Sans MT" w:hAnsi="Gill Sans MT" w:cstheme="minorHAnsi"/>
          <w:lang w:val="en-US"/>
        </w:rPr>
        <w:t>, 4</w:t>
      </w:r>
      <w:r w:rsidRPr="000E5725">
        <w:rPr>
          <w:rFonts w:ascii="Gill Sans MT" w:hAnsi="Gill Sans MT" w:cstheme="minorHAnsi"/>
          <w:vertAlign w:val="superscript"/>
          <w:lang w:val="en-US"/>
        </w:rPr>
        <w:t>th</w:t>
      </w:r>
      <w:r w:rsidRPr="000E5725">
        <w:rPr>
          <w:rFonts w:ascii="Gill Sans MT" w:hAnsi="Gill Sans MT" w:cstheme="minorHAnsi"/>
          <w:lang w:val="en-US"/>
        </w:rPr>
        <w:t xml:space="preserve"> and 5</w:t>
      </w:r>
      <w:r w:rsidRPr="000E5725">
        <w:rPr>
          <w:rFonts w:ascii="Gill Sans MT" w:hAnsi="Gill Sans MT" w:cstheme="minorHAnsi"/>
          <w:vertAlign w:val="superscript"/>
          <w:lang w:val="en-US"/>
        </w:rPr>
        <w:t>th</w:t>
      </w:r>
      <w:r w:rsidRPr="000E5725">
        <w:rPr>
          <w:rFonts w:ascii="Gill Sans MT" w:hAnsi="Gill Sans MT" w:cstheme="minorHAnsi"/>
          <w:lang w:val="en-US"/>
        </w:rPr>
        <w:t xml:space="preserve"> report on CRC and presented its Universal Periodic Review report in October; The Government UPR report includes 4 out of the 5 key recommendations from our partner CONAFE, a major achievement for SCI in Senegal. </w:t>
      </w:r>
    </w:p>
    <w:p w14:paraId="0F0C03DA"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p>
    <w:p w14:paraId="5AFC70B9"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Through monitoring of children’s rights with strong involvement of children </w:t>
      </w:r>
      <w:r w:rsidRPr="000E5725">
        <w:rPr>
          <w:rFonts w:ascii="Gill Sans MT" w:hAnsi="Gill Sans MT" w:cstheme="minorHAnsi"/>
          <w:b/>
          <w:lang w:val="en-US"/>
        </w:rPr>
        <w:t>Complementary reports</w:t>
      </w:r>
      <w:r w:rsidRPr="000E5725">
        <w:rPr>
          <w:rFonts w:ascii="Gill Sans MT" w:hAnsi="Gill Sans MT" w:cstheme="minorHAnsi"/>
          <w:lang w:val="en-US"/>
        </w:rPr>
        <w:t xml:space="preserve"> led by our partners have been elaborated /submitted </w:t>
      </w:r>
    </w:p>
    <w:p w14:paraId="217D61B2" w14:textId="77777777" w:rsidR="000E5725" w:rsidRPr="000E5725" w:rsidRDefault="000E5725" w:rsidP="00F2542C">
      <w:pPr>
        <w:numPr>
          <w:ilvl w:val="0"/>
          <w:numId w:val="3"/>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In Senegal, the UPR child-friendly report was submitted by CONAFE with key recommendations. </w:t>
      </w:r>
    </w:p>
    <w:p w14:paraId="6219A023" w14:textId="77777777" w:rsidR="000E5725" w:rsidRPr="000E5725" w:rsidRDefault="000E5725" w:rsidP="00F2542C">
      <w:pPr>
        <w:numPr>
          <w:ilvl w:val="0"/>
          <w:numId w:val="3"/>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COLTE/Guinea and GNCRC/Ghana have respectively elaborated their complementary reports on the ACRWC and on the CRC </w:t>
      </w:r>
    </w:p>
    <w:p w14:paraId="0C213A95" w14:textId="77777777" w:rsidR="000E5725" w:rsidRPr="000E5725" w:rsidRDefault="000E5725" w:rsidP="00F2542C">
      <w:pPr>
        <w:numPr>
          <w:ilvl w:val="0"/>
          <w:numId w:val="3"/>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CONIDE/Niger has elaborated its CRC Report in the last quarter of the year. </w:t>
      </w:r>
    </w:p>
    <w:p w14:paraId="71D10DC3" w14:textId="77777777" w:rsidR="000E5725" w:rsidRPr="000E5725" w:rsidRDefault="000E5725" w:rsidP="00F2542C">
      <w:pPr>
        <w:numPr>
          <w:ilvl w:val="0"/>
          <w:numId w:val="3"/>
        </w:numPr>
        <w:pBdr>
          <w:top w:val="single" w:sz="4" w:space="1" w:color="auto"/>
          <w:left w:val="single" w:sz="4" w:space="4" w:color="auto"/>
          <w:bottom w:val="single" w:sz="4" w:space="31" w:color="auto"/>
          <w:right w:val="single" w:sz="4" w:space="4" w:color="auto"/>
        </w:pBdr>
        <w:rPr>
          <w:rFonts w:ascii="Gill Sans MT" w:hAnsi="Gill Sans MT" w:cstheme="minorHAnsi"/>
          <w:b/>
          <w:lang w:val="en-US"/>
        </w:rPr>
      </w:pPr>
      <w:r w:rsidRPr="000E5725">
        <w:rPr>
          <w:rFonts w:ascii="Gill Sans MT" w:hAnsi="Gill Sans MT" w:cstheme="minorHAnsi"/>
          <w:lang w:val="en-US"/>
        </w:rPr>
        <w:t>In Senegal, Togo, The Gambia, Niger Ghana and Guinea</w:t>
      </w:r>
      <w:r w:rsidR="00204A7B">
        <w:rPr>
          <w:rFonts w:ascii="Gill Sans MT" w:hAnsi="Gill Sans MT" w:cstheme="minorHAnsi"/>
          <w:lang w:val="en-US"/>
        </w:rPr>
        <w:t>,</w:t>
      </w:r>
      <w:r w:rsidRPr="000E5725">
        <w:rPr>
          <w:rFonts w:ascii="Gill Sans MT" w:hAnsi="Gill Sans MT" w:cstheme="minorHAnsi"/>
          <w:lang w:val="en-US"/>
        </w:rPr>
        <w:t xml:space="preserve"> </w:t>
      </w:r>
      <w:r w:rsidR="00204A7B">
        <w:rPr>
          <w:rFonts w:ascii="Gill Sans MT" w:hAnsi="Gill Sans MT" w:cstheme="minorHAnsi"/>
          <w:lang w:val="en-US"/>
        </w:rPr>
        <w:t>9,387</w:t>
      </w:r>
      <w:r w:rsidRPr="000E5725">
        <w:rPr>
          <w:rFonts w:ascii="Gill Sans MT" w:hAnsi="Gill Sans MT" w:cstheme="minorHAnsi"/>
          <w:lang w:val="en-US"/>
        </w:rPr>
        <w:t xml:space="preserve"> knowledgeable and empowered children raised awareness through radio programs and sensitization meetings and advocated for their rights in their communities. </w:t>
      </w:r>
    </w:p>
    <w:p w14:paraId="7C09F569"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b/>
          <w:lang w:val="en-US"/>
        </w:rPr>
      </w:pPr>
    </w:p>
    <w:p w14:paraId="2518BBDA"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CRG partners have </w:t>
      </w:r>
      <w:r w:rsidRPr="000E5725">
        <w:rPr>
          <w:rFonts w:ascii="Gill Sans MT" w:hAnsi="Gill Sans MT" w:cstheme="minorHAnsi"/>
          <w:b/>
          <w:lang w:val="en-US"/>
        </w:rPr>
        <w:t>improved their networking and partnership</w:t>
      </w:r>
      <w:r w:rsidRPr="000E5725">
        <w:rPr>
          <w:rFonts w:ascii="Gill Sans MT" w:hAnsi="Gill Sans MT" w:cstheme="minorHAnsi"/>
          <w:lang w:val="en-US"/>
        </w:rPr>
        <w:t xml:space="preserve"> compared to last year: </w:t>
      </w:r>
    </w:p>
    <w:p w14:paraId="40EB53AA" w14:textId="77777777" w:rsidR="000E5725" w:rsidRPr="000E5725" w:rsidRDefault="000E5725" w:rsidP="00F2542C">
      <w:pPr>
        <w:numPr>
          <w:ilvl w:val="0"/>
          <w:numId w:val="5"/>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Experiences, lessons learned and good practices from the more successful Coalitions have been shared and benefitted the others. </w:t>
      </w:r>
    </w:p>
    <w:p w14:paraId="1EF586D0" w14:textId="77777777" w:rsidR="000E5725" w:rsidRPr="000E5725" w:rsidRDefault="0095778F" w:rsidP="00F2542C">
      <w:pPr>
        <w:numPr>
          <w:ilvl w:val="0"/>
          <w:numId w:val="5"/>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Pr>
          <w:rFonts w:ascii="Gill Sans MT" w:hAnsi="Gill Sans MT" w:cstheme="minorHAnsi"/>
          <w:lang w:val="en-US"/>
        </w:rPr>
        <w:t xml:space="preserve">The </w:t>
      </w:r>
      <w:r w:rsidR="000E5725" w:rsidRPr="000E5725">
        <w:rPr>
          <w:rFonts w:ascii="Gill Sans MT" w:hAnsi="Gill Sans MT" w:cstheme="minorHAnsi"/>
          <w:lang w:val="en-US"/>
        </w:rPr>
        <w:t xml:space="preserve">ECOWAS Gender Commission, the African Committee of Experts on the Rights and Welfare of the Child and the West African Civil Society Organizations have improved their collaboration for </w:t>
      </w:r>
      <w:r>
        <w:rPr>
          <w:rFonts w:ascii="Gill Sans MT" w:hAnsi="Gill Sans MT" w:cstheme="minorHAnsi"/>
          <w:lang w:val="en-US"/>
        </w:rPr>
        <w:t xml:space="preserve">advancing </w:t>
      </w:r>
      <w:r w:rsidR="000E5725" w:rsidRPr="000E5725">
        <w:rPr>
          <w:rFonts w:ascii="Gill Sans MT" w:hAnsi="Gill Sans MT" w:cstheme="minorHAnsi"/>
          <w:lang w:val="en-US"/>
        </w:rPr>
        <w:t xml:space="preserve">children’s rights </w:t>
      </w:r>
      <w:r>
        <w:rPr>
          <w:rFonts w:ascii="Gill Sans MT" w:hAnsi="Gill Sans MT" w:cstheme="minorHAnsi"/>
          <w:lang w:val="en-US"/>
        </w:rPr>
        <w:t xml:space="preserve">through support from Save the Children. </w:t>
      </w:r>
      <w:r w:rsidR="000E5725" w:rsidRPr="000E5725">
        <w:rPr>
          <w:rFonts w:ascii="Gill Sans MT" w:hAnsi="Gill Sans MT" w:cstheme="minorHAnsi"/>
          <w:lang w:val="en-US"/>
        </w:rPr>
        <w:t xml:space="preserve"> </w:t>
      </w:r>
    </w:p>
    <w:p w14:paraId="4C419C2C" w14:textId="77777777" w:rsidR="000E5725" w:rsidRPr="000E5725" w:rsidRDefault="000E5725" w:rsidP="00F2542C">
      <w:pPr>
        <w:numPr>
          <w:ilvl w:val="0"/>
          <w:numId w:val="5"/>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Our regional CRG partner, UWAC is now registered as a West African Civil Society Forum (WACSOF) member, ECOWAS Gender Commission recognized network, a great opportunity to placing Children Rights at the heart of ECOWAS agenda. </w:t>
      </w:r>
    </w:p>
    <w:p w14:paraId="0C11302F"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    </w:t>
      </w:r>
    </w:p>
    <w:p w14:paraId="0A7239A5"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To </w:t>
      </w:r>
      <w:r w:rsidRPr="000E5725">
        <w:rPr>
          <w:rFonts w:ascii="Gill Sans MT" w:hAnsi="Gill Sans MT" w:cstheme="minorHAnsi"/>
          <w:b/>
          <w:lang w:val="en-US"/>
        </w:rPr>
        <w:t>strengthen national systems</w:t>
      </w:r>
      <w:r w:rsidR="00962313">
        <w:rPr>
          <w:rFonts w:ascii="Gill Sans MT" w:hAnsi="Gill Sans MT" w:cstheme="minorHAnsi"/>
          <w:lang w:val="en-US"/>
        </w:rPr>
        <w:t xml:space="preserve">, civil society advocacy </w:t>
      </w:r>
      <w:r w:rsidRPr="000E5725">
        <w:rPr>
          <w:rFonts w:ascii="Gill Sans MT" w:hAnsi="Gill Sans MT" w:cstheme="minorHAnsi"/>
          <w:lang w:val="en-US"/>
        </w:rPr>
        <w:t xml:space="preserve">for child rights focused mainly on </w:t>
      </w:r>
      <w:r w:rsidR="00962313">
        <w:rPr>
          <w:rFonts w:ascii="Gill Sans MT" w:hAnsi="Gill Sans MT" w:cstheme="minorHAnsi"/>
          <w:lang w:val="en-US"/>
        </w:rPr>
        <w:t xml:space="preserve">the adoption and/or revision of Children’s Acts, </w:t>
      </w:r>
      <w:r w:rsidR="00836A9B">
        <w:rPr>
          <w:rFonts w:ascii="Gill Sans MT" w:hAnsi="Gill Sans MT" w:cstheme="minorHAnsi"/>
          <w:lang w:val="en-US"/>
        </w:rPr>
        <w:t xml:space="preserve">a </w:t>
      </w:r>
      <w:r w:rsidRPr="000E5725">
        <w:rPr>
          <w:rFonts w:ascii="Gill Sans MT" w:hAnsi="Gill Sans MT" w:cstheme="minorHAnsi"/>
          <w:lang w:val="en-US"/>
        </w:rPr>
        <w:t>functional national coordination mechanism, and child-friendly budgeting.</w:t>
      </w:r>
      <w:r w:rsidR="0095778F">
        <w:rPr>
          <w:rFonts w:ascii="Gill Sans MT" w:hAnsi="Gill Sans MT" w:cstheme="minorHAnsi"/>
          <w:lang w:val="en-US"/>
        </w:rPr>
        <w:t xml:space="preserve"> </w:t>
      </w:r>
      <w:r w:rsidRPr="000E5725">
        <w:rPr>
          <w:rFonts w:ascii="Gill Sans MT" w:hAnsi="Gill Sans MT" w:cstheme="minorHAnsi"/>
          <w:lang w:val="en-US"/>
        </w:rPr>
        <w:t xml:space="preserve"> </w:t>
      </w:r>
    </w:p>
    <w:p w14:paraId="5B1A15C1" w14:textId="77777777" w:rsidR="000E5725" w:rsidRPr="000E5725" w:rsidRDefault="000E5725" w:rsidP="00F2542C">
      <w:pPr>
        <w:numPr>
          <w:ilvl w:val="0"/>
          <w:numId w:val="8"/>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The Prime Minister of Senegal has signed a decree creating the Committee to review and finalize the Children’s Act draft available since 2006. </w:t>
      </w:r>
    </w:p>
    <w:p w14:paraId="12C16A67" w14:textId="77777777" w:rsidR="00204A7B" w:rsidRDefault="000E5725" w:rsidP="00D439F7">
      <w:pPr>
        <w:numPr>
          <w:ilvl w:val="0"/>
          <w:numId w:val="8"/>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204A7B">
        <w:rPr>
          <w:rFonts w:ascii="Gill Sans MT" w:hAnsi="Gill Sans MT" w:cstheme="minorHAnsi"/>
          <w:lang w:val="en-US"/>
        </w:rPr>
        <w:t>One out of the two local target municipalities in Togo, 6 out of 8 target municipalities in Guinea and 4 municipalities in Senegal have adopted child-friendly programming and budgeting</w:t>
      </w:r>
      <w:r w:rsidR="0095778F">
        <w:rPr>
          <w:rFonts w:ascii="Gill Sans MT" w:hAnsi="Gill Sans MT" w:cstheme="minorHAnsi"/>
          <w:lang w:val="en-US"/>
        </w:rPr>
        <w:t xml:space="preserve"> </w:t>
      </w:r>
      <w:r w:rsidRPr="00204A7B">
        <w:rPr>
          <w:rFonts w:ascii="Gill Sans MT" w:hAnsi="Gill Sans MT" w:cstheme="minorHAnsi"/>
          <w:lang w:val="en-US"/>
        </w:rPr>
        <w:t>. Substantial resources were allocated for birth registration, children without appropriate care protection and schools infrastructures in their 2014 budget.</w:t>
      </w:r>
    </w:p>
    <w:p w14:paraId="211BAA5E" w14:textId="77777777" w:rsidR="000E5725" w:rsidRPr="00204A7B" w:rsidRDefault="000E5725" w:rsidP="00D439F7">
      <w:pPr>
        <w:numPr>
          <w:ilvl w:val="0"/>
          <w:numId w:val="8"/>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204A7B">
        <w:rPr>
          <w:rFonts w:ascii="Gill Sans MT" w:hAnsi="Gill Sans MT" w:cstheme="minorHAnsi"/>
          <w:lang w:val="en-US"/>
        </w:rPr>
        <w:lastRenderedPageBreak/>
        <w:t>In Gambia, the Government has increased the human and financial allocation to the Department of Social Welfare in order to coordinate responses to children issues at national as well as local levels. In Togo a draft decree of the installment of the functional monitoring mechanism</w:t>
      </w:r>
      <w:r w:rsidR="0095778F">
        <w:rPr>
          <w:rFonts w:ascii="Gill Sans MT" w:hAnsi="Gill Sans MT" w:cstheme="minorHAnsi"/>
          <w:lang w:val="en-US"/>
        </w:rPr>
        <w:t xml:space="preserve"> for </w:t>
      </w:r>
      <w:r w:rsidR="00463D70">
        <w:rPr>
          <w:rFonts w:ascii="Gill Sans MT" w:hAnsi="Gill Sans MT" w:cstheme="minorHAnsi"/>
          <w:lang w:val="en-US"/>
        </w:rPr>
        <w:t>monitoring child rights</w:t>
      </w:r>
      <w:r w:rsidRPr="00204A7B">
        <w:rPr>
          <w:rFonts w:ascii="Gill Sans MT" w:hAnsi="Gill Sans MT" w:cstheme="minorHAnsi"/>
          <w:lang w:val="en-US"/>
        </w:rPr>
        <w:t xml:space="preserve"> is available. </w:t>
      </w:r>
    </w:p>
    <w:p w14:paraId="3D638D6C" w14:textId="77777777" w:rsidR="000E5725" w:rsidRPr="000E5725" w:rsidRDefault="000E5725" w:rsidP="00F2542C">
      <w:pPr>
        <w:numPr>
          <w:ilvl w:val="0"/>
          <w:numId w:val="8"/>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The Government of Senegal has formally committed to increase resources for quality and equitable education through its new Education Policy and Program (Programme d’Amélioration de la Qualité, de l’Equité et de la Transparence PAQUET) and to avoid child begging through its ambitious Program of modernization of daaras.  </w:t>
      </w:r>
    </w:p>
    <w:p w14:paraId="2F3547B2"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b/>
          <w:lang w:val="en-US"/>
        </w:rPr>
      </w:pPr>
    </w:p>
    <w:p w14:paraId="2A0C3AE0"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The latter achievement in Senegal would not have been possible without the extensive advocacy work of our partner, CONAFE, who mobilized a wide range of key social actors for strong and sustainable support. CONAFE Senegal has been particularly </w:t>
      </w:r>
      <w:r w:rsidRPr="000E5725">
        <w:rPr>
          <w:rFonts w:ascii="Gill Sans MT" w:hAnsi="Gill Sans MT" w:cstheme="minorHAnsi"/>
          <w:b/>
          <w:lang w:val="en-US"/>
        </w:rPr>
        <w:t xml:space="preserve">innovative and flexible </w:t>
      </w:r>
      <w:r w:rsidRPr="000E5725">
        <w:rPr>
          <w:rFonts w:ascii="Gill Sans MT" w:hAnsi="Gill Sans MT" w:cstheme="minorHAnsi"/>
          <w:lang w:val="en-US"/>
        </w:rPr>
        <w:t xml:space="preserve">in their approach, using strategic alliances, changing target audience and process. A more systematic use of available information, resources and knowledge has greatly contributed to </w:t>
      </w:r>
      <w:r w:rsidRPr="000E5725">
        <w:rPr>
          <w:rFonts w:ascii="Gill Sans MT" w:hAnsi="Gill Sans MT" w:cstheme="minorHAnsi"/>
          <w:b/>
          <w:lang w:val="en-US"/>
        </w:rPr>
        <w:t>scale up</w:t>
      </w:r>
      <w:r w:rsidRPr="000E5725">
        <w:rPr>
          <w:rFonts w:ascii="Gill Sans MT" w:hAnsi="Gill Sans MT" w:cstheme="minorHAnsi"/>
          <w:lang w:val="en-US"/>
        </w:rPr>
        <w:t xml:space="preserve"> partners results and their advocacy work.      </w:t>
      </w:r>
    </w:p>
    <w:p w14:paraId="323B7A98"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b/>
          <w:lang w:val="en-US"/>
        </w:rPr>
      </w:pPr>
    </w:p>
    <w:p w14:paraId="2EDADD2E"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A real improvement in </w:t>
      </w:r>
      <w:r w:rsidRPr="000E5725">
        <w:rPr>
          <w:rFonts w:ascii="Gill Sans MT" w:hAnsi="Gill Sans MT" w:cstheme="minorHAnsi"/>
          <w:b/>
          <w:lang w:val="en-US"/>
        </w:rPr>
        <w:t>children participation</w:t>
      </w:r>
      <w:r w:rsidRPr="000E5725">
        <w:rPr>
          <w:rFonts w:ascii="Gill Sans MT" w:hAnsi="Gill Sans MT" w:cstheme="minorHAnsi"/>
          <w:lang w:val="en-US"/>
        </w:rPr>
        <w:t xml:space="preserve"> has been noted compared to the 4 baselines conducted early this year. </w:t>
      </w:r>
    </w:p>
    <w:p w14:paraId="1D63FDE3" w14:textId="77777777" w:rsidR="000E5725" w:rsidRPr="000E5725" w:rsidRDefault="000E5725" w:rsidP="00F2542C">
      <w:pPr>
        <w:numPr>
          <w:ilvl w:val="0"/>
          <w:numId w:val="7"/>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In Senegal, Togo, Guinea and the Gambia, partners now meet several key SCI participation standards. </w:t>
      </w:r>
    </w:p>
    <w:p w14:paraId="200FAE94" w14:textId="77777777" w:rsidR="000E5725" w:rsidRPr="000E5725" w:rsidRDefault="000E5725" w:rsidP="00F2542C">
      <w:pPr>
        <w:numPr>
          <w:ilvl w:val="0"/>
          <w:numId w:val="6"/>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16 children from CONAFE have elaborated the child-friendly version of the CSO “Guide on how to better collaborate with the African Committee of Experts on the Rights and Welfare of the Child” and 4 of them participated in the validation workshop in Lusaka. </w:t>
      </w:r>
    </w:p>
    <w:p w14:paraId="14A937B0" w14:textId="77777777" w:rsidR="000E5725" w:rsidRPr="000E5725" w:rsidRDefault="000E5725" w:rsidP="00F2542C">
      <w:pPr>
        <w:numPr>
          <w:ilvl w:val="0"/>
          <w:numId w:val="6"/>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In the Gambia, the Voice, CPA Child led group has successful hold sensitization activities (radio broadcasts, community mobilization).</w:t>
      </w:r>
    </w:p>
    <w:p w14:paraId="3ACA1F33"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p>
    <w:p w14:paraId="771BAD35"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b/>
          <w:lang w:val="en-US"/>
        </w:rPr>
      </w:pPr>
      <w:r w:rsidRPr="000E5725">
        <w:rPr>
          <w:rFonts w:ascii="Gill Sans MT" w:hAnsi="Gill Sans MT" w:cstheme="minorHAnsi"/>
          <w:lang w:val="en-US"/>
        </w:rPr>
        <w:t xml:space="preserve">Partners have paid more attention to </w:t>
      </w:r>
      <w:r w:rsidRPr="000E5725">
        <w:rPr>
          <w:rFonts w:ascii="Gill Sans MT" w:hAnsi="Gill Sans MT" w:cstheme="minorHAnsi"/>
          <w:b/>
          <w:lang w:val="en-US"/>
        </w:rPr>
        <w:t xml:space="preserve">gender </w:t>
      </w:r>
      <w:r w:rsidRPr="000E5725">
        <w:rPr>
          <w:rFonts w:ascii="Gill Sans MT" w:hAnsi="Gill Sans MT" w:cstheme="minorHAnsi"/>
          <w:lang w:val="en-US"/>
        </w:rPr>
        <w:t xml:space="preserve">issues. More systematic gender disaggregation and analysis is noticeable in all their documents. Gender equity is a core element of project.  Partners’ messages and activities target both males and females, challenge gender bias, and promote social equity. </w:t>
      </w:r>
    </w:p>
    <w:p w14:paraId="7BD0C79B"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p>
    <w:p w14:paraId="1386812B" w14:textId="77777777" w:rsidR="000E5725" w:rsidRPr="000E5725" w:rsidRDefault="000E572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rPr>
        <w:t xml:space="preserve">All achievements above and the </w:t>
      </w:r>
      <w:r w:rsidRPr="000E5725">
        <w:rPr>
          <w:rFonts w:ascii="Gill Sans MT" w:hAnsi="Gill Sans MT" w:cstheme="minorHAnsi"/>
          <w:lang w:val="en-US"/>
        </w:rPr>
        <w:t xml:space="preserve">improved capacity of all partners to influence decision-makers have been supported by </w:t>
      </w:r>
      <w:r w:rsidRPr="000E5725">
        <w:rPr>
          <w:rFonts w:ascii="Gill Sans MT" w:hAnsi="Gill Sans MT" w:cstheme="minorHAnsi"/>
        </w:rPr>
        <w:t xml:space="preserve">continued </w:t>
      </w:r>
      <w:r w:rsidRPr="000E5725">
        <w:rPr>
          <w:rFonts w:ascii="Gill Sans MT" w:hAnsi="Gill Sans MT" w:cstheme="minorHAnsi"/>
          <w:b/>
        </w:rPr>
        <w:t>Organizational Capacity Development</w:t>
      </w:r>
      <w:r w:rsidRPr="000E5725">
        <w:rPr>
          <w:rFonts w:ascii="Gill Sans MT" w:hAnsi="Gill Sans MT" w:cstheme="minorHAnsi"/>
        </w:rPr>
        <w:t xml:space="preserve"> of our 6 CRG partners. </w:t>
      </w:r>
    </w:p>
    <w:p w14:paraId="2A160BD7" w14:textId="77777777" w:rsidR="000E5725" w:rsidRPr="000E5725" w:rsidRDefault="000E5725" w:rsidP="00F2542C">
      <w:pPr>
        <w:numPr>
          <w:ilvl w:val="0"/>
          <w:numId w:val="4"/>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It focused on partner’s efficiency, impact and institutional, organizational and governance standards and practices through training workshops and regular technical support, </w:t>
      </w:r>
    </w:p>
    <w:p w14:paraId="2AD0F9F1" w14:textId="77777777" w:rsidR="000E5725" w:rsidRPr="000E5725" w:rsidRDefault="000E5725" w:rsidP="00F2542C">
      <w:pPr>
        <w:numPr>
          <w:ilvl w:val="0"/>
          <w:numId w:val="4"/>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Around 150 members from the Coalitions can now better advocate stakeholders including the private sector, for legal reforms and sufficient provisions for children’s rights, better communicate on their activities, mobilize the community, and conduct rights-based approach and programming. </w:t>
      </w:r>
    </w:p>
    <w:p w14:paraId="2E116D4A" w14:textId="77777777" w:rsidR="000E5725" w:rsidRPr="000E5725" w:rsidRDefault="000E5725" w:rsidP="00F2542C">
      <w:pPr>
        <w:numPr>
          <w:ilvl w:val="0"/>
          <w:numId w:val="4"/>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0E5725">
        <w:rPr>
          <w:rFonts w:ascii="Gill Sans MT" w:hAnsi="Gill Sans MT" w:cstheme="minorHAnsi"/>
          <w:lang w:val="en-US"/>
        </w:rPr>
        <w:t xml:space="preserve">Specific training on SCI Standards, Finance and SCI reporting tools and regular monitoring have enabled CRG partners to submit on time all their reports and related annexes (including indicators), with much improved quality compared to previous years. </w:t>
      </w:r>
    </w:p>
    <w:p w14:paraId="6D9A8872" w14:textId="77777777" w:rsidR="00A325D2" w:rsidRPr="007506B1" w:rsidRDefault="000E5725" w:rsidP="00F2542C">
      <w:pPr>
        <w:numPr>
          <w:ilvl w:val="0"/>
          <w:numId w:val="4"/>
        </w:numPr>
        <w:pBdr>
          <w:top w:val="single" w:sz="4" w:space="1" w:color="auto"/>
          <w:left w:val="single" w:sz="4" w:space="4" w:color="auto"/>
          <w:bottom w:val="single" w:sz="4" w:space="31" w:color="auto"/>
          <w:right w:val="single" w:sz="4" w:space="4" w:color="auto"/>
        </w:pBdr>
        <w:rPr>
          <w:rFonts w:ascii="Gill Sans MT" w:hAnsi="Gill Sans MT" w:cstheme="minorHAnsi"/>
          <w:i/>
        </w:rPr>
      </w:pPr>
      <w:r w:rsidRPr="007176A4">
        <w:rPr>
          <w:rFonts w:ascii="Gill Sans MT" w:hAnsi="Gill Sans MT" w:cstheme="minorHAnsi"/>
          <w:lang w:val="en-US"/>
        </w:rPr>
        <w:t>Save the Children has increased 7 partners’ knowledge and understanding of gender and child/human rights through training.</w:t>
      </w:r>
      <w:r w:rsidR="007176A4" w:rsidRPr="007176A4">
        <w:rPr>
          <w:rFonts w:ascii="Gill Sans MT" w:hAnsi="Gill Sans MT" w:cstheme="minorHAnsi"/>
          <w:lang w:val="en-US"/>
        </w:rPr>
        <w:t xml:space="preserve"> </w:t>
      </w:r>
    </w:p>
    <w:p w14:paraId="5C717213" w14:textId="77777777" w:rsidR="007506B1" w:rsidRDefault="007506B1" w:rsidP="007506B1">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p>
    <w:p w14:paraId="07323C11" w14:textId="77777777" w:rsidR="00E5004F" w:rsidRDefault="00E5004F" w:rsidP="007506B1">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p>
    <w:p w14:paraId="2D3700A3" w14:textId="77777777" w:rsidR="00E5004F" w:rsidRDefault="00E5004F" w:rsidP="007506B1">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p>
    <w:p w14:paraId="32204A5A" w14:textId="77777777" w:rsidR="007506B1" w:rsidRPr="00204A7B" w:rsidRDefault="00204A7B" w:rsidP="007506B1">
      <w:pPr>
        <w:pBdr>
          <w:top w:val="single" w:sz="4" w:space="1" w:color="auto"/>
          <w:left w:val="single" w:sz="4" w:space="4" w:color="auto"/>
          <w:bottom w:val="single" w:sz="4" w:space="31" w:color="auto"/>
          <w:right w:val="single" w:sz="4" w:space="4" w:color="auto"/>
        </w:pBdr>
        <w:rPr>
          <w:rFonts w:ascii="Gill Sans MT" w:hAnsi="Gill Sans MT" w:cstheme="minorHAnsi"/>
          <w:b/>
          <w:lang w:val="en-US"/>
        </w:rPr>
      </w:pPr>
      <w:r w:rsidRPr="00204A7B">
        <w:rPr>
          <w:rFonts w:ascii="Gill Sans MT" w:hAnsi="Gill Sans MT" w:cstheme="minorHAnsi"/>
          <w:b/>
          <w:lang w:val="en-US"/>
        </w:rPr>
        <w:t>K</w:t>
      </w:r>
      <w:r w:rsidR="007506B1" w:rsidRPr="00204A7B">
        <w:rPr>
          <w:rFonts w:ascii="Gill Sans MT" w:hAnsi="Gill Sans MT" w:cstheme="minorHAnsi"/>
          <w:b/>
          <w:lang w:val="en-US"/>
        </w:rPr>
        <w:t xml:space="preserve">ey lessons learned: </w:t>
      </w:r>
    </w:p>
    <w:p w14:paraId="1BD13012" w14:textId="77777777" w:rsidR="007506B1" w:rsidRPr="007506B1" w:rsidRDefault="007506B1" w:rsidP="00D439F7">
      <w:pPr>
        <w:numPr>
          <w:ilvl w:val="0"/>
          <w:numId w:val="4"/>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7506B1">
        <w:rPr>
          <w:rFonts w:ascii="Gill Sans MT" w:hAnsi="Gill Sans MT" w:cstheme="minorHAnsi"/>
          <w:lang w:val="en-US"/>
        </w:rPr>
        <w:lastRenderedPageBreak/>
        <w:t>Any advocacy initiative needs be carefully planned with the stakeholders and decisions-makers as they have heavy calendars. In several occasions, it was important for CRG partners to be flexible and seize opportunities to advocate for child rights, mobilizing all social actors around a common child rights theme for sustainable results. Developing advocacy plans more systematically and monitoring process was key in improving our advocacy work.</w:t>
      </w:r>
    </w:p>
    <w:p w14:paraId="432DE00E" w14:textId="77777777" w:rsidR="007506B1" w:rsidRPr="007506B1" w:rsidRDefault="007506B1" w:rsidP="007506B1">
      <w:pPr>
        <w:numPr>
          <w:ilvl w:val="0"/>
          <w:numId w:val="4"/>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Pr>
          <w:rFonts w:ascii="Gill Sans MT" w:hAnsi="Gill Sans MT" w:cstheme="minorHAnsi"/>
          <w:lang w:val="en-US"/>
        </w:rPr>
        <w:t xml:space="preserve">It is </w:t>
      </w:r>
      <w:r w:rsidRPr="007506B1">
        <w:rPr>
          <w:rFonts w:ascii="Gill Sans MT" w:hAnsi="Gill Sans MT" w:cstheme="minorHAnsi"/>
          <w:lang w:val="en-US"/>
        </w:rPr>
        <w:t>importan</w:t>
      </w:r>
      <w:r>
        <w:rPr>
          <w:rFonts w:ascii="Gill Sans MT" w:hAnsi="Gill Sans MT" w:cstheme="minorHAnsi"/>
          <w:lang w:val="en-US"/>
        </w:rPr>
        <w:t>t to involve</w:t>
      </w:r>
      <w:r w:rsidRPr="007506B1">
        <w:rPr>
          <w:rFonts w:ascii="Gill Sans MT" w:hAnsi="Gill Sans MT" w:cstheme="minorHAnsi"/>
          <w:lang w:val="en-US"/>
        </w:rPr>
        <w:t xml:space="preserve"> children</w:t>
      </w:r>
      <w:r>
        <w:rPr>
          <w:rFonts w:ascii="Gill Sans MT" w:hAnsi="Gill Sans MT" w:cstheme="minorHAnsi"/>
          <w:lang w:val="en-US"/>
        </w:rPr>
        <w:t xml:space="preserve"> in our</w:t>
      </w:r>
      <w:r w:rsidRPr="007506B1">
        <w:rPr>
          <w:rFonts w:ascii="Gill Sans MT" w:hAnsi="Gill Sans MT" w:cstheme="minorHAnsi"/>
          <w:lang w:val="en-US"/>
        </w:rPr>
        <w:t xml:space="preserve"> advocacy work</w:t>
      </w:r>
      <w:r>
        <w:rPr>
          <w:rFonts w:ascii="Gill Sans MT" w:hAnsi="Gill Sans MT" w:cstheme="minorHAnsi"/>
          <w:lang w:val="en-US"/>
        </w:rPr>
        <w:t xml:space="preserve">, as they are the best placed to </w:t>
      </w:r>
      <w:r w:rsidRPr="007506B1">
        <w:rPr>
          <w:rFonts w:ascii="Gill Sans MT" w:hAnsi="Gill Sans MT" w:cstheme="minorHAnsi"/>
          <w:lang w:val="en-US"/>
        </w:rPr>
        <w:t xml:space="preserve">hold their own concerns and find the best way to claim their rights.  </w:t>
      </w:r>
    </w:p>
    <w:p w14:paraId="51F957CB" w14:textId="77777777" w:rsidR="007506B1" w:rsidRPr="007506B1" w:rsidRDefault="007506B1" w:rsidP="007506B1">
      <w:pPr>
        <w:numPr>
          <w:ilvl w:val="0"/>
          <w:numId w:val="4"/>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Pr>
          <w:rFonts w:ascii="Gill Sans MT" w:hAnsi="Gill Sans MT" w:cstheme="minorHAnsi"/>
          <w:lang w:val="en-US"/>
        </w:rPr>
        <w:t>Extending t</w:t>
      </w:r>
      <w:r w:rsidRPr="007506B1">
        <w:rPr>
          <w:rFonts w:ascii="Gill Sans MT" w:hAnsi="Gill Sans MT" w:cstheme="minorHAnsi"/>
          <w:lang w:val="en-US"/>
        </w:rPr>
        <w:t>he child-friendly budgeting training to technical staff and municipalities'</w:t>
      </w:r>
      <w:r>
        <w:rPr>
          <w:rFonts w:ascii="Gill Sans MT" w:hAnsi="Gill Sans MT" w:cstheme="minorHAnsi"/>
          <w:lang w:val="en-US"/>
        </w:rPr>
        <w:t xml:space="preserve"> agents was key in ensuring their</w:t>
      </w:r>
      <w:r w:rsidRPr="007506B1">
        <w:rPr>
          <w:rFonts w:ascii="Gill Sans MT" w:hAnsi="Gill Sans MT" w:cstheme="minorHAnsi"/>
          <w:lang w:val="en-US"/>
        </w:rPr>
        <w:t xml:space="preserve"> approval</w:t>
      </w:r>
      <w:r>
        <w:rPr>
          <w:rFonts w:ascii="Gill Sans MT" w:hAnsi="Gill Sans MT" w:cstheme="minorHAnsi"/>
          <w:lang w:val="en-US"/>
        </w:rPr>
        <w:t xml:space="preserve"> in a timely way</w:t>
      </w:r>
      <w:r w:rsidRPr="007506B1">
        <w:rPr>
          <w:rFonts w:ascii="Gill Sans MT" w:hAnsi="Gill Sans MT" w:cstheme="minorHAnsi"/>
          <w:lang w:val="en-US"/>
        </w:rPr>
        <w:t>.</w:t>
      </w:r>
      <w:r w:rsidRPr="007506B1">
        <w:rPr>
          <w:rFonts w:ascii="Arial" w:hAnsi="Arial" w:cs="Arial"/>
          <w:lang w:val="en-US"/>
        </w:rPr>
        <w:t>​</w:t>
      </w:r>
    </w:p>
    <w:p w14:paraId="65A9F75D" w14:textId="77777777" w:rsidR="00FE5235" w:rsidRDefault="00FE5235" w:rsidP="00F2542C">
      <w:pPr>
        <w:rPr>
          <w:rFonts w:ascii="Gill Sans MT" w:hAnsi="Gill Sans MT" w:cstheme="minorHAnsi"/>
          <w:i/>
          <w:highlight w:val="lightGray"/>
        </w:rPr>
      </w:pPr>
    </w:p>
    <w:p w14:paraId="448384D9" w14:textId="77777777" w:rsidR="009D7B1F" w:rsidRDefault="00A45469" w:rsidP="00F2542C">
      <w:pPr>
        <w:pBdr>
          <w:top w:val="single" w:sz="4" w:space="1" w:color="auto"/>
          <w:left w:val="single" w:sz="4" w:space="4" w:color="auto"/>
          <w:bottom w:val="single" w:sz="4" w:space="31" w:color="auto"/>
          <w:right w:val="single" w:sz="4" w:space="4" w:color="auto"/>
        </w:pBdr>
        <w:rPr>
          <w:rFonts w:ascii="Gill Sans MT" w:hAnsi="Gill Sans MT" w:cstheme="minorHAnsi"/>
          <w:i/>
          <w:highlight w:val="lightGray"/>
        </w:rPr>
      </w:pPr>
      <w:r>
        <w:rPr>
          <w:rFonts w:ascii="Gill Sans MT" w:hAnsi="Gill Sans MT" w:cstheme="minorHAnsi"/>
          <w:i/>
          <w:highlight w:val="lightGray"/>
        </w:rPr>
        <w:t xml:space="preserve">Theme Area III </w:t>
      </w:r>
      <w:r w:rsidR="009D7B1F">
        <w:rPr>
          <w:rFonts w:ascii="Gill Sans MT" w:hAnsi="Gill Sans MT" w:cstheme="minorHAnsi"/>
          <w:i/>
          <w:highlight w:val="lightGray"/>
        </w:rPr>
        <w:t>–</w:t>
      </w:r>
      <w:r>
        <w:rPr>
          <w:rFonts w:ascii="Gill Sans MT" w:hAnsi="Gill Sans MT" w:cstheme="minorHAnsi"/>
          <w:i/>
          <w:highlight w:val="lightGray"/>
        </w:rPr>
        <w:t xml:space="preserve"> </w:t>
      </w:r>
      <w:r w:rsidR="009D7B1F">
        <w:rPr>
          <w:rFonts w:ascii="Gill Sans MT" w:hAnsi="Gill Sans MT" w:cstheme="minorHAnsi"/>
          <w:i/>
          <w:highlight w:val="lightGray"/>
        </w:rPr>
        <w:t xml:space="preserve">Health </w:t>
      </w:r>
    </w:p>
    <w:p w14:paraId="048C5F6A" w14:textId="77777777" w:rsidR="00FE5235" w:rsidRDefault="009921A5" w:rsidP="00F2542C">
      <w:pPr>
        <w:pBdr>
          <w:top w:val="single" w:sz="4" w:space="1" w:color="auto"/>
          <w:left w:val="single" w:sz="4" w:space="4" w:color="auto"/>
          <w:bottom w:val="single" w:sz="4" w:space="31" w:color="auto"/>
          <w:right w:val="single" w:sz="4" w:space="4" w:color="auto"/>
        </w:pBdr>
        <w:rPr>
          <w:rFonts w:ascii="Gill Sans MT" w:hAnsi="Gill Sans MT" w:cstheme="minorHAnsi"/>
        </w:rPr>
      </w:pPr>
      <w:r w:rsidRPr="009921A5">
        <w:rPr>
          <w:rFonts w:ascii="Gill Sans MT" w:hAnsi="Gill Sans MT" w:cstheme="minorHAnsi"/>
        </w:rPr>
        <w:t>Our health programme</w:t>
      </w:r>
      <w:r w:rsidR="00575772">
        <w:rPr>
          <w:rFonts w:ascii="Gill Sans MT" w:hAnsi="Gill Sans MT" w:cstheme="minorHAnsi"/>
        </w:rPr>
        <w:t xml:space="preserve"> </w:t>
      </w:r>
      <w:r w:rsidR="00FE5235">
        <w:rPr>
          <w:rFonts w:ascii="Gill Sans MT" w:hAnsi="Gill Sans MT" w:cstheme="minorHAnsi"/>
        </w:rPr>
        <w:t>repre</w:t>
      </w:r>
      <w:r w:rsidRPr="009921A5">
        <w:rPr>
          <w:rFonts w:ascii="Gill Sans MT" w:hAnsi="Gill Sans MT" w:cstheme="minorHAnsi"/>
        </w:rPr>
        <w:t xml:space="preserve">sented </w:t>
      </w:r>
      <w:r w:rsidR="00F93635">
        <w:rPr>
          <w:rFonts w:ascii="Gill Sans MT" w:hAnsi="Gill Sans MT" w:cstheme="minorHAnsi"/>
        </w:rPr>
        <w:t>3</w:t>
      </w:r>
      <w:r w:rsidRPr="009921A5">
        <w:rPr>
          <w:rFonts w:ascii="Gill Sans MT" w:hAnsi="Gill Sans MT" w:cstheme="minorHAnsi"/>
        </w:rPr>
        <w:t xml:space="preserve">% of our total </w:t>
      </w:r>
      <w:r w:rsidR="00F93635">
        <w:rPr>
          <w:rFonts w:ascii="Gill Sans MT" w:hAnsi="Gill Sans MT" w:cstheme="minorHAnsi"/>
        </w:rPr>
        <w:t>spend</w:t>
      </w:r>
      <w:r w:rsidRPr="009921A5">
        <w:rPr>
          <w:rFonts w:ascii="Gill Sans MT" w:hAnsi="Gill Sans MT" w:cstheme="minorHAnsi"/>
        </w:rPr>
        <w:t xml:space="preserve"> in 2013</w:t>
      </w:r>
      <w:r w:rsidR="00575772">
        <w:rPr>
          <w:rFonts w:ascii="Gill Sans MT" w:hAnsi="Gill Sans MT" w:cstheme="minorHAnsi"/>
        </w:rPr>
        <w:t xml:space="preserve"> and</w:t>
      </w:r>
      <w:r w:rsidR="00FE5235">
        <w:rPr>
          <w:rFonts w:ascii="Gill Sans MT" w:hAnsi="Gill Sans MT" w:cstheme="minorHAnsi"/>
        </w:rPr>
        <w:t xml:space="preserve"> continued to focus on </w:t>
      </w:r>
      <w:r w:rsidR="00FE5235" w:rsidRPr="00FE5235">
        <w:rPr>
          <w:rFonts w:ascii="Gill Sans MT" w:hAnsi="Gill Sans MT" w:cstheme="minorHAnsi"/>
          <w:lang w:val="en-US"/>
        </w:rPr>
        <w:t>four dis</w:t>
      </w:r>
      <w:r w:rsidR="00FE5235">
        <w:rPr>
          <w:rFonts w:ascii="Gill Sans MT" w:hAnsi="Gill Sans MT" w:cstheme="minorHAnsi"/>
          <w:lang w:val="en-US"/>
        </w:rPr>
        <w:t>tricts of the Fatick Medical Region of Senegal and national-level advocacy</w:t>
      </w:r>
      <w:r w:rsidRPr="009921A5">
        <w:rPr>
          <w:rFonts w:ascii="Gill Sans MT" w:hAnsi="Gill Sans MT" w:cstheme="minorHAnsi"/>
        </w:rPr>
        <w:t>. In partnership with the Ministry of Hea</w:t>
      </w:r>
      <w:r w:rsidR="00FE5235">
        <w:rPr>
          <w:rFonts w:ascii="Gill Sans MT" w:hAnsi="Gill Sans MT" w:cstheme="minorHAnsi"/>
        </w:rPr>
        <w:t>lth and Social Action of Senegal</w:t>
      </w:r>
      <w:r w:rsidRPr="009921A5">
        <w:rPr>
          <w:rFonts w:ascii="Gill Sans MT" w:hAnsi="Gill Sans MT" w:cstheme="minorHAnsi"/>
        </w:rPr>
        <w:t>, we address the sub-themes of Maternal and newborn health and Child health</w:t>
      </w:r>
      <w:r>
        <w:rPr>
          <w:rFonts w:ascii="Gill Sans MT" w:hAnsi="Gill Sans MT" w:cstheme="minorHAnsi"/>
        </w:rPr>
        <w:t xml:space="preserve"> </w:t>
      </w:r>
      <w:r w:rsidRPr="009921A5">
        <w:rPr>
          <w:rFonts w:ascii="Gill Sans MT" w:hAnsi="Gill Sans MT" w:cstheme="minorHAnsi"/>
        </w:rPr>
        <w:t>(08 and 09)</w:t>
      </w:r>
      <w:r w:rsidR="00575772">
        <w:rPr>
          <w:rFonts w:ascii="Gill Sans MT" w:hAnsi="Gill Sans MT" w:cstheme="minorHAnsi"/>
        </w:rPr>
        <w:t xml:space="preserve">. We also </w:t>
      </w:r>
      <w:r w:rsidRPr="009921A5">
        <w:rPr>
          <w:rFonts w:ascii="Gill Sans MT" w:hAnsi="Gill Sans MT" w:cstheme="minorHAnsi"/>
        </w:rPr>
        <w:t>promote Universal Health Coverage and supportive health financing policies</w:t>
      </w:r>
      <w:r w:rsidR="00FE5235">
        <w:rPr>
          <w:rFonts w:ascii="Gill Sans MT" w:hAnsi="Gill Sans MT" w:cstheme="minorHAnsi"/>
        </w:rPr>
        <w:t xml:space="preserve"> at national level</w:t>
      </w:r>
      <w:r w:rsidR="00575772">
        <w:rPr>
          <w:rFonts w:ascii="Gill Sans MT" w:hAnsi="Gill Sans MT" w:cstheme="minorHAnsi"/>
        </w:rPr>
        <w:t xml:space="preserve"> as part of our advocacy work</w:t>
      </w:r>
      <w:r w:rsidRPr="009921A5">
        <w:rPr>
          <w:rFonts w:ascii="Gill Sans MT" w:hAnsi="Gill Sans MT" w:cstheme="minorHAnsi"/>
        </w:rPr>
        <w:t xml:space="preserve">. </w:t>
      </w:r>
    </w:p>
    <w:p w14:paraId="18350C2C" w14:textId="77777777" w:rsidR="0092257B" w:rsidRDefault="0092257B"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Pr>
          <w:rFonts w:ascii="Gill Sans MT" w:hAnsi="Gill Sans MT" w:cstheme="minorHAnsi"/>
          <w:lang w:val="en-US"/>
        </w:rPr>
        <w:t>In the Fatick region, o</w:t>
      </w:r>
      <w:r w:rsidR="00FE5235">
        <w:rPr>
          <w:rFonts w:ascii="Gill Sans MT" w:hAnsi="Gill Sans MT" w:cstheme="minorHAnsi"/>
          <w:lang w:val="en-US"/>
        </w:rPr>
        <w:t xml:space="preserve">ur </w:t>
      </w:r>
      <w:r>
        <w:rPr>
          <w:rFonts w:ascii="Gill Sans MT" w:hAnsi="Gill Sans MT" w:cstheme="minorHAnsi"/>
          <w:lang w:val="en-US"/>
        </w:rPr>
        <w:t xml:space="preserve">intervention </w:t>
      </w:r>
      <w:r w:rsidR="00FE5235" w:rsidRPr="00FE5235">
        <w:rPr>
          <w:rFonts w:ascii="Gill Sans MT" w:hAnsi="Gill Sans MT" w:cstheme="minorHAnsi"/>
          <w:lang w:val="en-US"/>
        </w:rPr>
        <w:t xml:space="preserve">focused on hygiene and sanitation, advocacy activities and training on </w:t>
      </w:r>
      <w:r w:rsidR="00783B76" w:rsidRPr="00FE5235">
        <w:rPr>
          <w:rFonts w:ascii="Gill Sans MT" w:hAnsi="Gill Sans MT" w:cstheme="minorHAnsi"/>
          <w:lang w:val="en-US"/>
        </w:rPr>
        <w:t>infections</w:t>
      </w:r>
      <w:r w:rsidR="00783B76">
        <w:rPr>
          <w:rFonts w:ascii="Gill Sans MT" w:hAnsi="Gill Sans MT" w:cstheme="minorHAnsi"/>
          <w:lang w:val="en-US"/>
        </w:rPr>
        <w:t xml:space="preserve"> related to </w:t>
      </w:r>
      <w:r w:rsidR="00FE5235" w:rsidRPr="00FE5235">
        <w:rPr>
          <w:rFonts w:ascii="Gill Sans MT" w:hAnsi="Gill Sans MT" w:cstheme="minorHAnsi"/>
          <w:lang w:val="en-US"/>
        </w:rPr>
        <w:t xml:space="preserve">health </w:t>
      </w:r>
      <w:r w:rsidR="00783B76">
        <w:rPr>
          <w:rFonts w:ascii="Gill Sans MT" w:hAnsi="Gill Sans MT" w:cstheme="minorHAnsi"/>
          <w:lang w:val="en-US"/>
        </w:rPr>
        <w:t>care</w:t>
      </w:r>
      <w:r w:rsidR="00FE5235" w:rsidRPr="00FE5235">
        <w:rPr>
          <w:rFonts w:ascii="Gill Sans MT" w:hAnsi="Gill Sans MT" w:cstheme="minorHAnsi"/>
          <w:lang w:val="en-US"/>
        </w:rPr>
        <w:t xml:space="preserve">. </w:t>
      </w:r>
      <w:r w:rsidR="00FE5235">
        <w:rPr>
          <w:rFonts w:ascii="Gill Sans MT" w:hAnsi="Gill Sans MT" w:cstheme="minorHAnsi"/>
          <w:lang w:val="en-US"/>
        </w:rPr>
        <w:t>Our work buil</w:t>
      </w:r>
      <w:r>
        <w:rPr>
          <w:rFonts w:ascii="Gill Sans MT" w:hAnsi="Gill Sans MT" w:cstheme="minorHAnsi"/>
          <w:lang w:val="en-US"/>
        </w:rPr>
        <w:t>t</w:t>
      </w:r>
      <w:r w:rsidR="00FE5235">
        <w:rPr>
          <w:rFonts w:ascii="Gill Sans MT" w:hAnsi="Gill Sans MT" w:cstheme="minorHAnsi"/>
          <w:lang w:val="en-US"/>
        </w:rPr>
        <w:t xml:space="preserve"> on and </w:t>
      </w:r>
      <w:r>
        <w:rPr>
          <w:rFonts w:ascii="Gill Sans MT" w:hAnsi="Gill Sans MT" w:cstheme="minorHAnsi"/>
          <w:lang w:val="en-US"/>
        </w:rPr>
        <w:t>supplemented</w:t>
      </w:r>
      <w:r w:rsidR="00FE5235">
        <w:rPr>
          <w:rFonts w:ascii="Gill Sans MT" w:hAnsi="Gill Sans MT" w:cstheme="minorHAnsi"/>
          <w:lang w:val="en-US"/>
        </w:rPr>
        <w:t xml:space="preserve"> the capacity strengthening on </w:t>
      </w:r>
      <w:r w:rsidR="00FE5235" w:rsidRPr="00FE5235">
        <w:rPr>
          <w:rFonts w:ascii="Gill Sans MT" w:hAnsi="Gill Sans MT" w:cstheme="minorHAnsi"/>
          <w:lang w:val="en-US"/>
        </w:rPr>
        <w:t>maternal and child health</w:t>
      </w:r>
      <w:r w:rsidR="00FE5235">
        <w:rPr>
          <w:rFonts w:ascii="Gill Sans MT" w:hAnsi="Gill Sans MT" w:cstheme="minorHAnsi"/>
          <w:lang w:val="en-US"/>
        </w:rPr>
        <w:t xml:space="preserve"> which</w:t>
      </w:r>
      <w:r w:rsidR="00FE5235" w:rsidRPr="00FE5235">
        <w:rPr>
          <w:rFonts w:ascii="Gill Sans MT" w:hAnsi="Gill Sans MT" w:cstheme="minorHAnsi"/>
          <w:lang w:val="en-US"/>
        </w:rPr>
        <w:t xml:space="preserve"> took place </w:t>
      </w:r>
      <w:r w:rsidR="00575772">
        <w:rPr>
          <w:rFonts w:ascii="Gill Sans MT" w:hAnsi="Gill Sans MT" w:cstheme="minorHAnsi"/>
          <w:lang w:val="en-US"/>
        </w:rPr>
        <w:t>in</w:t>
      </w:r>
      <w:r w:rsidR="00FE5235" w:rsidRPr="00FE5235">
        <w:rPr>
          <w:rFonts w:ascii="Gill Sans MT" w:hAnsi="Gill Sans MT" w:cstheme="minorHAnsi"/>
          <w:lang w:val="en-US"/>
        </w:rPr>
        <w:t xml:space="preserve"> 2012</w:t>
      </w:r>
      <w:r w:rsidR="00FE5235">
        <w:rPr>
          <w:rFonts w:ascii="Gill Sans MT" w:hAnsi="Gill Sans MT" w:cstheme="minorHAnsi"/>
          <w:lang w:val="en-US"/>
        </w:rPr>
        <w:t xml:space="preserve">. </w:t>
      </w:r>
      <w:r w:rsidR="00FE5235" w:rsidRPr="00FE5235">
        <w:rPr>
          <w:rFonts w:ascii="Gill Sans MT" w:hAnsi="Gill Sans MT" w:cstheme="minorHAnsi"/>
          <w:lang w:val="en-US"/>
        </w:rPr>
        <w:t xml:space="preserve">In addition, we ensured </w:t>
      </w:r>
      <w:r>
        <w:rPr>
          <w:rFonts w:ascii="Gill Sans MT" w:hAnsi="Gill Sans MT" w:cstheme="minorHAnsi"/>
          <w:lang w:val="en-US"/>
        </w:rPr>
        <w:t xml:space="preserve">the </w:t>
      </w:r>
      <w:r w:rsidR="00FE5235" w:rsidRPr="00FE5235">
        <w:rPr>
          <w:rFonts w:ascii="Gill Sans MT" w:hAnsi="Gill Sans MT" w:cstheme="minorHAnsi"/>
          <w:lang w:val="en-US"/>
        </w:rPr>
        <w:t xml:space="preserve">supply of essential medical, logistics and laboratories equipment </w:t>
      </w:r>
      <w:r>
        <w:rPr>
          <w:rFonts w:ascii="Gill Sans MT" w:hAnsi="Gill Sans MT" w:cstheme="minorHAnsi"/>
          <w:lang w:val="en-US"/>
        </w:rPr>
        <w:t xml:space="preserve">which was </w:t>
      </w:r>
      <w:r w:rsidR="00FE5235" w:rsidRPr="00FE5235">
        <w:rPr>
          <w:rFonts w:ascii="Gill Sans MT" w:hAnsi="Gill Sans MT" w:cstheme="minorHAnsi"/>
          <w:lang w:val="en-US"/>
        </w:rPr>
        <w:t xml:space="preserve">planned for </w:t>
      </w:r>
      <w:r>
        <w:rPr>
          <w:rFonts w:ascii="Gill Sans MT" w:hAnsi="Gill Sans MT" w:cstheme="minorHAnsi"/>
          <w:lang w:val="en-US"/>
        </w:rPr>
        <w:t>2012 but</w:t>
      </w:r>
      <w:r w:rsidR="00FE5235" w:rsidRPr="00FE5235">
        <w:rPr>
          <w:rFonts w:ascii="Gill Sans MT" w:hAnsi="Gill Sans MT" w:cstheme="minorHAnsi"/>
          <w:lang w:val="en-US"/>
        </w:rPr>
        <w:t xml:space="preserve"> had faced some delays. </w:t>
      </w:r>
    </w:p>
    <w:p w14:paraId="4620C355" w14:textId="77777777" w:rsidR="00A72662" w:rsidRPr="00783B76" w:rsidRDefault="00A72662"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p>
    <w:p w14:paraId="71F27B6D" w14:textId="77777777" w:rsidR="00FE5235" w:rsidRPr="002101AE" w:rsidRDefault="0092257B" w:rsidP="00F2542C">
      <w:pPr>
        <w:pBdr>
          <w:top w:val="single" w:sz="4" w:space="1" w:color="auto"/>
          <w:left w:val="single" w:sz="4" w:space="4" w:color="auto"/>
          <w:bottom w:val="single" w:sz="4" w:space="31" w:color="auto"/>
          <w:right w:val="single" w:sz="4" w:space="4" w:color="auto"/>
        </w:pBdr>
        <w:rPr>
          <w:rFonts w:ascii="Gill Sans MT" w:hAnsi="Gill Sans MT" w:cstheme="minorHAnsi"/>
        </w:rPr>
      </w:pPr>
      <w:r w:rsidRPr="00783B76">
        <w:rPr>
          <w:rFonts w:ascii="Gill Sans MT" w:hAnsi="Gill Sans MT" w:cstheme="minorHAnsi"/>
          <w:lang w:val="en-US"/>
        </w:rPr>
        <w:t xml:space="preserve">Our </w:t>
      </w:r>
      <w:r w:rsidRPr="002101AE">
        <w:rPr>
          <w:rFonts w:ascii="Gill Sans MT" w:hAnsi="Gill Sans MT" w:cstheme="minorHAnsi"/>
        </w:rPr>
        <w:t xml:space="preserve">key achievements in the region of Fatick, Senegal, have been: </w:t>
      </w:r>
    </w:p>
    <w:p w14:paraId="7E7605D8" w14:textId="77777777" w:rsidR="00FE5235" w:rsidRPr="002101AE" w:rsidRDefault="00FE5235" w:rsidP="00F2542C">
      <w:pPr>
        <w:numPr>
          <w:ilvl w:val="0"/>
          <w:numId w:val="7"/>
        </w:numPr>
        <w:pBdr>
          <w:top w:val="single" w:sz="4" w:space="1" w:color="auto"/>
          <w:left w:val="single" w:sz="4" w:space="4" w:color="auto"/>
          <w:bottom w:val="single" w:sz="4" w:space="31" w:color="auto"/>
          <w:right w:val="single" w:sz="4" w:space="4" w:color="auto"/>
        </w:pBdr>
        <w:rPr>
          <w:rFonts w:ascii="Gill Sans MT" w:hAnsi="Gill Sans MT" w:cstheme="minorHAnsi"/>
        </w:rPr>
      </w:pPr>
      <w:r w:rsidRPr="002101AE">
        <w:rPr>
          <w:rFonts w:ascii="Gill Sans MT" w:hAnsi="Gill Sans MT" w:cstheme="minorHAnsi"/>
          <w:b/>
        </w:rPr>
        <w:t>48 health centres</w:t>
      </w:r>
      <w:r w:rsidRPr="002101AE">
        <w:rPr>
          <w:rFonts w:ascii="Gill Sans MT" w:hAnsi="Gill Sans MT" w:cstheme="minorHAnsi"/>
        </w:rPr>
        <w:t xml:space="preserve"> of the four targeted districts </w:t>
      </w:r>
      <w:r w:rsidR="0092257B" w:rsidRPr="002101AE">
        <w:rPr>
          <w:rFonts w:ascii="Gill Sans MT" w:hAnsi="Gill Sans MT" w:cstheme="minorHAnsi"/>
          <w:b/>
        </w:rPr>
        <w:t>have been upgraded</w:t>
      </w:r>
      <w:r w:rsidR="0092257B" w:rsidRPr="002101AE">
        <w:rPr>
          <w:rFonts w:ascii="Gill Sans MT" w:hAnsi="Gill Sans MT" w:cstheme="minorHAnsi"/>
        </w:rPr>
        <w:t xml:space="preserve"> </w:t>
      </w:r>
      <w:r w:rsidRPr="002101AE">
        <w:rPr>
          <w:rFonts w:ascii="Gill Sans MT" w:hAnsi="Gill Sans MT" w:cstheme="minorHAnsi"/>
        </w:rPr>
        <w:t>through procurement and supply of essential equipment including motorbikes</w:t>
      </w:r>
      <w:r w:rsidR="000046F4">
        <w:rPr>
          <w:rFonts w:ascii="Gill Sans MT" w:hAnsi="Gill Sans MT" w:cstheme="minorHAnsi"/>
        </w:rPr>
        <w:t xml:space="preserve"> for health workers</w:t>
      </w:r>
      <w:r w:rsidRPr="002101AE">
        <w:rPr>
          <w:rFonts w:ascii="Gill Sans MT" w:hAnsi="Gill Sans MT" w:cstheme="minorHAnsi"/>
        </w:rPr>
        <w:t>, baby corners, sterilisation equipment, laboratory equipment and boat engines</w:t>
      </w:r>
      <w:r w:rsidR="000046F4">
        <w:rPr>
          <w:rFonts w:ascii="Gill Sans MT" w:hAnsi="Gill Sans MT" w:cstheme="minorHAnsi"/>
        </w:rPr>
        <w:t xml:space="preserve"> </w:t>
      </w:r>
      <w:r w:rsidR="00783B76">
        <w:rPr>
          <w:rFonts w:ascii="Gill Sans MT" w:hAnsi="Gill Sans MT" w:cstheme="minorHAnsi"/>
        </w:rPr>
        <w:t>for emergency health cases (villages are on remote islands without land access).</w:t>
      </w:r>
    </w:p>
    <w:p w14:paraId="10CB3C69" w14:textId="77777777" w:rsidR="00FE5235" w:rsidRPr="002101AE" w:rsidRDefault="0092257B" w:rsidP="00F2542C">
      <w:pPr>
        <w:numPr>
          <w:ilvl w:val="0"/>
          <w:numId w:val="7"/>
        </w:numPr>
        <w:pBdr>
          <w:top w:val="single" w:sz="4" w:space="1" w:color="auto"/>
          <w:left w:val="single" w:sz="4" w:space="4" w:color="auto"/>
          <w:bottom w:val="single" w:sz="4" w:space="31" w:color="auto"/>
          <w:right w:val="single" w:sz="4" w:space="4" w:color="auto"/>
        </w:pBdr>
        <w:rPr>
          <w:rFonts w:ascii="Gill Sans MT" w:hAnsi="Gill Sans MT" w:cstheme="minorHAnsi"/>
        </w:rPr>
      </w:pPr>
      <w:r w:rsidRPr="002101AE">
        <w:rPr>
          <w:rFonts w:ascii="Gill Sans MT" w:hAnsi="Gill Sans MT" w:cstheme="minorHAnsi"/>
          <w:b/>
        </w:rPr>
        <w:t>23 villages now benefit from improved</w:t>
      </w:r>
      <w:r w:rsidRPr="002101AE">
        <w:rPr>
          <w:rFonts w:ascii="Gill Sans MT" w:hAnsi="Gill Sans MT" w:cstheme="minorHAnsi"/>
        </w:rPr>
        <w:t xml:space="preserve"> </w:t>
      </w:r>
      <w:r w:rsidRPr="002101AE">
        <w:rPr>
          <w:rFonts w:ascii="Gill Sans MT" w:hAnsi="Gill Sans MT" w:cstheme="minorHAnsi"/>
          <w:b/>
        </w:rPr>
        <w:t>wa</w:t>
      </w:r>
      <w:r w:rsidR="00FE5235" w:rsidRPr="002101AE">
        <w:rPr>
          <w:rFonts w:ascii="Gill Sans MT" w:hAnsi="Gill Sans MT" w:cstheme="minorHAnsi"/>
          <w:b/>
        </w:rPr>
        <w:t>ste collection</w:t>
      </w:r>
      <w:r w:rsidRPr="002101AE">
        <w:rPr>
          <w:rFonts w:ascii="Gill Sans MT" w:hAnsi="Gill Sans MT" w:cstheme="minorHAnsi"/>
        </w:rPr>
        <w:t xml:space="preserve"> as the Ministry of Health and Save the Children </w:t>
      </w:r>
      <w:r w:rsidR="00FE5235" w:rsidRPr="002101AE">
        <w:rPr>
          <w:rFonts w:ascii="Gill Sans MT" w:hAnsi="Gill Sans MT" w:cstheme="minorHAnsi"/>
        </w:rPr>
        <w:t>provid</w:t>
      </w:r>
      <w:r w:rsidRPr="002101AE">
        <w:rPr>
          <w:rFonts w:ascii="Gill Sans MT" w:hAnsi="Gill Sans MT" w:cstheme="minorHAnsi"/>
        </w:rPr>
        <w:t>ed</w:t>
      </w:r>
      <w:r w:rsidR="00FE5235" w:rsidRPr="002101AE">
        <w:rPr>
          <w:rFonts w:ascii="Gill Sans MT" w:hAnsi="Gill Sans MT" w:cstheme="minorHAnsi"/>
        </w:rPr>
        <w:t xml:space="preserve"> waste collection material </w:t>
      </w:r>
      <w:r w:rsidR="00575772" w:rsidRPr="002101AE">
        <w:rPr>
          <w:rFonts w:ascii="Gill Sans MT" w:hAnsi="Gill Sans MT" w:cstheme="minorHAnsi"/>
        </w:rPr>
        <w:t xml:space="preserve">and support </w:t>
      </w:r>
      <w:r w:rsidR="00FE5235" w:rsidRPr="002101AE">
        <w:rPr>
          <w:rFonts w:ascii="Gill Sans MT" w:hAnsi="Gill Sans MT" w:cstheme="minorHAnsi"/>
        </w:rPr>
        <w:t xml:space="preserve">to hygiene </w:t>
      </w:r>
      <w:r w:rsidR="00575772" w:rsidRPr="002101AE">
        <w:rPr>
          <w:rFonts w:ascii="Gill Sans MT" w:hAnsi="Gill Sans MT" w:cstheme="minorHAnsi"/>
        </w:rPr>
        <w:t>committees</w:t>
      </w:r>
      <w:r w:rsidRPr="002101AE">
        <w:rPr>
          <w:rFonts w:ascii="Gill Sans MT" w:hAnsi="Gill Sans MT" w:cstheme="minorHAnsi"/>
        </w:rPr>
        <w:t xml:space="preserve"> at local level</w:t>
      </w:r>
      <w:r w:rsidR="00FE5235" w:rsidRPr="002101AE">
        <w:rPr>
          <w:rFonts w:ascii="Gill Sans MT" w:hAnsi="Gill Sans MT" w:cstheme="minorHAnsi"/>
        </w:rPr>
        <w:t>.</w:t>
      </w:r>
    </w:p>
    <w:p w14:paraId="5FD9553E" w14:textId="77777777" w:rsidR="00FE5235" w:rsidRPr="002101AE" w:rsidRDefault="0092257B" w:rsidP="00F2542C">
      <w:pPr>
        <w:numPr>
          <w:ilvl w:val="0"/>
          <w:numId w:val="7"/>
        </w:numPr>
        <w:pBdr>
          <w:top w:val="single" w:sz="4" w:space="1" w:color="auto"/>
          <w:left w:val="single" w:sz="4" w:space="4" w:color="auto"/>
          <w:bottom w:val="single" w:sz="4" w:space="31" w:color="auto"/>
          <w:right w:val="single" w:sz="4" w:space="4" w:color="auto"/>
        </w:pBdr>
        <w:rPr>
          <w:rFonts w:ascii="Gill Sans MT" w:hAnsi="Gill Sans MT" w:cstheme="minorHAnsi"/>
        </w:rPr>
      </w:pPr>
      <w:r w:rsidRPr="002101AE">
        <w:rPr>
          <w:rFonts w:ascii="Gill Sans MT" w:hAnsi="Gill Sans MT" w:cstheme="minorHAnsi"/>
        </w:rPr>
        <w:t xml:space="preserve">An </w:t>
      </w:r>
      <w:r w:rsidRPr="002101AE">
        <w:rPr>
          <w:rFonts w:ascii="Gill Sans MT" w:hAnsi="Gill Sans MT" w:cstheme="minorHAnsi"/>
          <w:b/>
        </w:rPr>
        <w:t>innovative and m</w:t>
      </w:r>
      <w:r w:rsidR="00FE5235" w:rsidRPr="002101AE">
        <w:rPr>
          <w:rFonts w:ascii="Gill Sans MT" w:hAnsi="Gill Sans MT" w:cstheme="minorHAnsi"/>
          <w:b/>
        </w:rPr>
        <w:t xml:space="preserve">ore efficient approach </w:t>
      </w:r>
      <w:r w:rsidRPr="002101AE">
        <w:rPr>
          <w:rFonts w:ascii="Gill Sans MT" w:hAnsi="Gill Sans MT" w:cstheme="minorHAnsi"/>
        </w:rPr>
        <w:t xml:space="preserve">was developed for building capacities </w:t>
      </w:r>
      <w:r w:rsidR="00A72662" w:rsidRPr="002101AE">
        <w:rPr>
          <w:rFonts w:ascii="Gill Sans MT" w:hAnsi="Gill Sans MT" w:cstheme="minorHAnsi"/>
        </w:rPr>
        <w:t>of health workers o</w:t>
      </w:r>
      <w:r w:rsidR="00FE5235" w:rsidRPr="002101AE">
        <w:rPr>
          <w:rFonts w:ascii="Gill Sans MT" w:hAnsi="Gill Sans MT" w:cstheme="minorHAnsi"/>
        </w:rPr>
        <w:t>n the prevention of health care-associated infections</w:t>
      </w:r>
      <w:r w:rsidR="00A72662" w:rsidRPr="002101AE">
        <w:rPr>
          <w:rFonts w:ascii="Gill Sans MT" w:hAnsi="Gill Sans MT" w:cstheme="minorHAnsi"/>
        </w:rPr>
        <w:t xml:space="preserve">. The </w:t>
      </w:r>
      <w:r w:rsidR="00FE5235" w:rsidRPr="002101AE">
        <w:rPr>
          <w:rFonts w:ascii="Gill Sans MT" w:hAnsi="Gill Sans MT" w:cstheme="minorHAnsi"/>
        </w:rPr>
        <w:t>in situ training,</w:t>
      </w:r>
      <w:r w:rsidR="00A72662" w:rsidRPr="002101AE">
        <w:rPr>
          <w:rFonts w:ascii="Gill Sans MT" w:hAnsi="Gill Sans MT" w:cstheme="minorHAnsi"/>
        </w:rPr>
        <w:t xml:space="preserve"> based on a context-specific </w:t>
      </w:r>
      <w:r w:rsidR="00FE5235" w:rsidRPr="002101AE">
        <w:rPr>
          <w:rFonts w:ascii="Gill Sans MT" w:hAnsi="Gill Sans MT" w:cstheme="minorHAnsi"/>
        </w:rPr>
        <w:t xml:space="preserve">needs assessment done by the Direction of PRONALIN (Programme National de Lutte contre les Infections Nosocomiales) </w:t>
      </w:r>
      <w:r w:rsidR="00A72662" w:rsidRPr="002101AE">
        <w:rPr>
          <w:rFonts w:ascii="Gill Sans MT" w:hAnsi="Gill Sans MT" w:cstheme="minorHAnsi"/>
        </w:rPr>
        <w:t>is expected to help prevent</w:t>
      </w:r>
      <w:r w:rsidR="00FE5235" w:rsidRPr="002101AE">
        <w:rPr>
          <w:rFonts w:ascii="Gill Sans MT" w:hAnsi="Gill Sans MT" w:cstheme="minorHAnsi"/>
        </w:rPr>
        <w:t xml:space="preserve"> health care related infections</w:t>
      </w:r>
      <w:r w:rsidR="00575772" w:rsidRPr="002101AE">
        <w:rPr>
          <w:rFonts w:ascii="Gill Sans MT" w:hAnsi="Gill Sans MT" w:cstheme="minorHAnsi"/>
        </w:rPr>
        <w:t xml:space="preserve">, </w:t>
      </w:r>
      <w:r w:rsidR="00A72662" w:rsidRPr="002101AE">
        <w:rPr>
          <w:rFonts w:ascii="Gill Sans MT" w:hAnsi="Gill Sans MT" w:cstheme="minorHAnsi"/>
        </w:rPr>
        <w:t xml:space="preserve">a major </w:t>
      </w:r>
      <w:r w:rsidR="00575772" w:rsidRPr="002101AE">
        <w:rPr>
          <w:rFonts w:ascii="Gill Sans MT" w:hAnsi="Gill Sans MT" w:cstheme="minorHAnsi"/>
        </w:rPr>
        <w:t>concern</w:t>
      </w:r>
      <w:r w:rsidR="00A72662" w:rsidRPr="002101AE">
        <w:rPr>
          <w:rFonts w:ascii="Gill Sans MT" w:hAnsi="Gill Sans MT" w:cstheme="minorHAnsi"/>
        </w:rPr>
        <w:t xml:space="preserve"> in this </w:t>
      </w:r>
      <w:r w:rsidR="00575772" w:rsidRPr="002101AE">
        <w:rPr>
          <w:rFonts w:ascii="Gill Sans MT" w:hAnsi="Gill Sans MT" w:cstheme="minorHAnsi"/>
        </w:rPr>
        <w:t>region</w:t>
      </w:r>
      <w:r w:rsidR="00A72662" w:rsidRPr="002101AE">
        <w:rPr>
          <w:rFonts w:ascii="Gill Sans MT" w:hAnsi="Gill Sans MT" w:cstheme="minorHAnsi"/>
        </w:rPr>
        <w:t xml:space="preserve"> of Senegal. </w:t>
      </w:r>
      <w:r w:rsidR="00FE5235" w:rsidRPr="002101AE">
        <w:rPr>
          <w:rFonts w:ascii="Gill Sans MT" w:hAnsi="Gill Sans MT" w:cstheme="minorHAnsi"/>
        </w:rPr>
        <w:t xml:space="preserve"> </w:t>
      </w:r>
    </w:p>
    <w:p w14:paraId="2FA82835" w14:textId="77777777" w:rsidR="00A72662" w:rsidRPr="002101AE" w:rsidRDefault="00A72662" w:rsidP="00F2542C">
      <w:pPr>
        <w:pBdr>
          <w:top w:val="single" w:sz="4" w:space="1" w:color="auto"/>
          <w:left w:val="single" w:sz="4" w:space="4" w:color="auto"/>
          <w:bottom w:val="single" w:sz="4" w:space="31" w:color="auto"/>
          <w:right w:val="single" w:sz="4" w:space="4" w:color="auto"/>
        </w:pBdr>
        <w:rPr>
          <w:rFonts w:ascii="Gill Sans MT" w:hAnsi="Gill Sans MT" w:cstheme="minorHAnsi"/>
        </w:rPr>
      </w:pPr>
    </w:p>
    <w:p w14:paraId="611B3652" w14:textId="77777777" w:rsidR="00A72662" w:rsidRPr="002101AE" w:rsidRDefault="00A72662" w:rsidP="00F2542C">
      <w:pPr>
        <w:pBdr>
          <w:top w:val="single" w:sz="4" w:space="1" w:color="auto"/>
          <w:left w:val="single" w:sz="4" w:space="4" w:color="auto"/>
          <w:bottom w:val="single" w:sz="4" w:space="31" w:color="auto"/>
          <w:right w:val="single" w:sz="4" w:space="4" w:color="auto"/>
        </w:pBdr>
        <w:rPr>
          <w:rFonts w:ascii="Gill Sans MT" w:hAnsi="Gill Sans MT" w:cstheme="minorHAnsi"/>
        </w:rPr>
      </w:pPr>
      <w:r w:rsidRPr="002101AE">
        <w:rPr>
          <w:rFonts w:ascii="Gill Sans MT" w:hAnsi="Gill Sans MT" w:cstheme="minorHAnsi"/>
        </w:rPr>
        <w:t xml:space="preserve">Save the Children in Senegal also </w:t>
      </w:r>
      <w:r w:rsidR="00575772" w:rsidRPr="002101AE">
        <w:rPr>
          <w:rFonts w:ascii="Gill Sans MT" w:hAnsi="Gill Sans MT" w:cstheme="minorHAnsi"/>
        </w:rPr>
        <w:t xml:space="preserve">started to </w:t>
      </w:r>
      <w:r w:rsidRPr="002101AE">
        <w:rPr>
          <w:rFonts w:ascii="Gill Sans MT" w:hAnsi="Gill Sans MT" w:cstheme="minorHAnsi"/>
        </w:rPr>
        <w:t xml:space="preserve">scale up its work on </w:t>
      </w:r>
      <w:r w:rsidRPr="00F4072B">
        <w:rPr>
          <w:rFonts w:ascii="Gill Sans MT" w:hAnsi="Gill Sans MT" w:cstheme="minorHAnsi"/>
          <w:b/>
        </w:rPr>
        <w:t>health advocacy</w:t>
      </w:r>
      <w:r w:rsidRPr="002101AE">
        <w:rPr>
          <w:rFonts w:ascii="Gill Sans MT" w:hAnsi="Gill Sans MT" w:cstheme="minorHAnsi"/>
        </w:rPr>
        <w:t xml:space="preserve">, with a focus on Universal Health Coverage and free health care for children under five, </w:t>
      </w:r>
      <w:r w:rsidR="00575772" w:rsidRPr="002101AE">
        <w:rPr>
          <w:rFonts w:ascii="Gill Sans MT" w:hAnsi="Gill Sans MT" w:cstheme="minorHAnsi"/>
        </w:rPr>
        <w:t>in</w:t>
      </w:r>
      <w:r w:rsidR="00DA77BD" w:rsidRPr="002101AE">
        <w:rPr>
          <w:rFonts w:ascii="Gill Sans MT" w:hAnsi="Gill Sans MT" w:cstheme="minorHAnsi"/>
        </w:rPr>
        <w:t xml:space="preserve"> line with</w:t>
      </w:r>
      <w:r w:rsidR="002101AE" w:rsidRPr="002101AE">
        <w:rPr>
          <w:rFonts w:ascii="Gill Sans MT" w:hAnsi="Gill Sans MT" w:cstheme="minorHAnsi"/>
        </w:rPr>
        <w:t xml:space="preserve"> the health</w:t>
      </w:r>
      <w:r w:rsidR="00DA77BD" w:rsidRPr="002101AE">
        <w:rPr>
          <w:rFonts w:ascii="Gill Sans MT" w:hAnsi="Gill Sans MT" w:cstheme="minorHAnsi"/>
        </w:rPr>
        <w:t xml:space="preserve"> </w:t>
      </w:r>
      <w:r w:rsidRPr="002101AE">
        <w:rPr>
          <w:rFonts w:ascii="Gill Sans MT" w:hAnsi="Gill Sans MT" w:cstheme="minorHAnsi"/>
        </w:rPr>
        <w:t>Global Initiative</w:t>
      </w:r>
      <w:r w:rsidR="00DA77BD" w:rsidRPr="002101AE">
        <w:rPr>
          <w:rFonts w:ascii="Gill Sans MT" w:hAnsi="Gill Sans MT" w:cstheme="minorHAnsi"/>
        </w:rPr>
        <w:t xml:space="preserve">. </w:t>
      </w:r>
      <w:r w:rsidR="009837C3">
        <w:rPr>
          <w:rFonts w:ascii="Gill Sans MT" w:hAnsi="Gill Sans MT" w:cstheme="minorHAnsi"/>
        </w:rPr>
        <w:t xml:space="preserve">We also </w:t>
      </w:r>
      <w:r w:rsidR="002101AE" w:rsidRPr="002101AE">
        <w:rPr>
          <w:rFonts w:ascii="Gill Sans MT" w:hAnsi="Gill Sans MT" w:cstheme="minorHAnsi"/>
        </w:rPr>
        <w:t xml:space="preserve">organised the first Race for Survival in Senegal this year. </w:t>
      </w:r>
      <w:r w:rsidRPr="002101AE">
        <w:rPr>
          <w:rFonts w:ascii="Gill Sans MT" w:hAnsi="Gill Sans MT" w:cstheme="minorHAnsi"/>
        </w:rPr>
        <w:t xml:space="preserve">Our key achievements </w:t>
      </w:r>
      <w:r w:rsidR="00575772" w:rsidRPr="002101AE">
        <w:rPr>
          <w:rFonts w:ascii="Gill Sans MT" w:hAnsi="Gill Sans MT" w:cstheme="minorHAnsi"/>
        </w:rPr>
        <w:t xml:space="preserve">on advocacy for health in 2013 </w:t>
      </w:r>
      <w:r w:rsidRPr="002101AE">
        <w:rPr>
          <w:rFonts w:ascii="Gill Sans MT" w:hAnsi="Gill Sans MT" w:cstheme="minorHAnsi"/>
        </w:rPr>
        <w:t xml:space="preserve">have been: </w:t>
      </w:r>
    </w:p>
    <w:p w14:paraId="6BFFC30D" w14:textId="77777777" w:rsidR="00FE5235" w:rsidRPr="002101AE" w:rsidRDefault="00FE5235" w:rsidP="00F2542C">
      <w:pPr>
        <w:pBdr>
          <w:top w:val="single" w:sz="4" w:space="1" w:color="auto"/>
          <w:left w:val="single" w:sz="4" w:space="4" w:color="auto"/>
          <w:bottom w:val="single" w:sz="4" w:space="31" w:color="auto"/>
          <w:right w:val="single" w:sz="4" w:space="4" w:color="auto"/>
        </w:pBdr>
        <w:rPr>
          <w:rFonts w:ascii="Gill Sans MT" w:hAnsi="Gill Sans MT" w:cstheme="minorHAnsi"/>
        </w:rPr>
      </w:pPr>
    </w:p>
    <w:p w14:paraId="4DEAACB4" w14:textId="77777777" w:rsidR="009837C3" w:rsidRPr="009837C3" w:rsidRDefault="009837C3" w:rsidP="00F2542C">
      <w:pPr>
        <w:numPr>
          <w:ilvl w:val="0"/>
          <w:numId w:val="7"/>
        </w:numPr>
        <w:pBdr>
          <w:top w:val="single" w:sz="4" w:space="1" w:color="auto"/>
          <w:left w:val="single" w:sz="4" w:space="4" w:color="auto"/>
          <w:bottom w:val="single" w:sz="4" w:space="31" w:color="auto"/>
          <w:right w:val="single" w:sz="4" w:space="4" w:color="auto"/>
        </w:pBdr>
        <w:rPr>
          <w:rFonts w:ascii="Gill Sans MT" w:hAnsi="Gill Sans MT" w:cstheme="minorHAnsi"/>
        </w:rPr>
      </w:pPr>
      <w:r>
        <w:rPr>
          <w:rFonts w:ascii="Gill Sans MT" w:hAnsi="Gill Sans MT" w:cstheme="minorHAnsi"/>
        </w:rPr>
        <w:t>A key event in 2013 in Senegal was th</w:t>
      </w:r>
      <w:r w:rsidRPr="002101AE">
        <w:rPr>
          <w:rFonts w:ascii="Gill Sans MT" w:hAnsi="Gill Sans MT" w:cstheme="minorHAnsi"/>
        </w:rPr>
        <w:t xml:space="preserve">e </w:t>
      </w:r>
      <w:r w:rsidRPr="009837C3">
        <w:rPr>
          <w:rFonts w:ascii="Gill Sans MT" w:hAnsi="Gill Sans MT" w:cstheme="minorHAnsi"/>
          <w:b/>
        </w:rPr>
        <w:t>launching of free care for children under five</w:t>
      </w:r>
      <w:r w:rsidRPr="002101AE">
        <w:rPr>
          <w:rFonts w:ascii="Gill Sans MT" w:hAnsi="Gill Sans MT" w:cstheme="minorHAnsi"/>
        </w:rPr>
        <w:t xml:space="preserve"> by the President of Senegal</w:t>
      </w:r>
      <w:r>
        <w:rPr>
          <w:rFonts w:ascii="Gill Sans MT" w:hAnsi="Gill Sans MT" w:cstheme="minorHAnsi"/>
        </w:rPr>
        <w:t xml:space="preserve">. Save the Children contributed to this achievement and was a key player supporting the CACMU </w:t>
      </w:r>
      <w:r w:rsidRPr="002101AE">
        <w:rPr>
          <w:rFonts w:ascii="Gill Sans MT" w:hAnsi="Gill Sans MT" w:cstheme="minorHAnsi"/>
        </w:rPr>
        <w:t xml:space="preserve">(Cellule d Appui a la Couverture Medicale Universelle) </w:t>
      </w:r>
      <w:r>
        <w:rPr>
          <w:rFonts w:ascii="Gill Sans MT" w:hAnsi="Gill Sans MT" w:cstheme="minorHAnsi"/>
        </w:rPr>
        <w:t xml:space="preserve">through </w:t>
      </w:r>
      <w:r w:rsidRPr="002101AE">
        <w:rPr>
          <w:rFonts w:ascii="Gill Sans MT" w:hAnsi="Gill Sans MT" w:cstheme="minorHAnsi"/>
        </w:rPr>
        <w:t>technical</w:t>
      </w:r>
      <w:r w:rsidRPr="0092257B">
        <w:rPr>
          <w:rFonts w:ascii="Gill Sans MT" w:hAnsi="Gill Sans MT" w:cstheme="minorHAnsi"/>
          <w:lang w:val="en-US"/>
        </w:rPr>
        <w:t xml:space="preserve"> and financial assistance </w:t>
      </w:r>
      <w:r>
        <w:rPr>
          <w:rFonts w:ascii="Gill Sans MT" w:hAnsi="Gill Sans MT" w:cstheme="minorHAnsi"/>
          <w:lang w:val="en-US"/>
        </w:rPr>
        <w:t xml:space="preserve">to </w:t>
      </w:r>
      <w:r w:rsidRPr="0092257B">
        <w:rPr>
          <w:rFonts w:ascii="Gill Sans MT" w:hAnsi="Gill Sans MT" w:cstheme="minorHAnsi"/>
          <w:lang w:val="en-US"/>
        </w:rPr>
        <w:t>validat</w:t>
      </w:r>
      <w:r>
        <w:rPr>
          <w:rFonts w:ascii="Gill Sans MT" w:hAnsi="Gill Sans MT" w:cstheme="minorHAnsi"/>
          <w:lang w:val="en-US"/>
        </w:rPr>
        <w:t>e</w:t>
      </w:r>
      <w:r w:rsidRPr="0092257B">
        <w:rPr>
          <w:rFonts w:ascii="Gill Sans MT" w:hAnsi="Gill Sans MT" w:cstheme="minorHAnsi"/>
          <w:lang w:val="en-US"/>
        </w:rPr>
        <w:t xml:space="preserve"> the </w:t>
      </w:r>
      <w:r w:rsidRPr="00F4072B">
        <w:rPr>
          <w:rFonts w:ascii="Gill Sans MT" w:hAnsi="Gill Sans MT" w:cstheme="minorHAnsi"/>
          <w:b/>
          <w:lang w:val="en-US"/>
        </w:rPr>
        <w:t>5 years national strategic plan on Universal Health Coverage</w:t>
      </w:r>
      <w:r>
        <w:rPr>
          <w:rFonts w:ascii="Gill Sans MT" w:hAnsi="Gill Sans MT" w:cstheme="minorHAnsi"/>
          <w:lang w:val="en-US"/>
        </w:rPr>
        <w:t xml:space="preserve">.  </w:t>
      </w:r>
    </w:p>
    <w:p w14:paraId="3EF04D48" w14:textId="77777777" w:rsidR="0092257B" w:rsidRPr="002101AE" w:rsidRDefault="0092257B" w:rsidP="00F2542C">
      <w:pPr>
        <w:numPr>
          <w:ilvl w:val="0"/>
          <w:numId w:val="7"/>
        </w:numPr>
        <w:pBdr>
          <w:top w:val="single" w:sz="4" w:space="1" w:color="auto"/>
          <w:left w:val="single" w:sz="4" w:space="4" w:color="auto"/>
          <w:bottom w:val="single" w:sz="4" w:space="31" w:color="auto"/>
          <w:right w:val="single" w:sz="4" w:space="4" w:color="auto"/>
        </w:pBdr>
        <w:rPr>
          <w:rFonts w:ascii="Gill Sans MT" w:hAnsi="Gill Sans MT" w:cstheme="minorHAnsi"/>
        </w:rPr>
      </w:pPr>
      <w:r w:rsidRPr="002101AE">
        <w:rPr>
          <w:rFonts w:ascii="Gill Sans MT" w:hAnsi="Gill Sans MT" w:cstheme="minorHAnsi"/>
        </w:rPr>
        <w:lastRenderedPageBreak/>
        <w:t xml:space="preserve">40 media professionals from 7 regions of Senegal have a better knowledge on communication on Universal Health Coverage </w:t>
      </w:r>
    </w:p>
    <w:p w14:paraId="23D19F78" w14:textId="77777777" w:rsidR="009837C3" w:rsidRPr="00F4072B" w:rsidRDefault="00F4072B" w:rsidP="00F2542C">
      <w:pPr>
        <w:numPr>
          <w:ilvl w:val="0"/>
          <w:numId w:val="7"/>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F4072B">
        <w:rPr>
          <w:rFonts w:ascii="Gill Sans MT" w:hAnsi="Gill Sans MT" w:cstheme="minorHAnsi"/>
          <w:lang w:val="en-US"/>
        </w:rPr>
        <w:t xml:space="preserve">More than 90 children delivered key messages on better health for children and women in Senegal, during the first </w:t>
      </w:r>
      <w:r w:rsidR="009837C3" w:rsidRPr="00F4072B">
        <w:rPr>
          <w:rFonts w:ascii="Gill Sans MT" w:hAnsi="Gill Sans MT" w:cstheme="minorHAnsi"/>
          <w:lang w:val="en-US"/>
        </w:rPr>
        <w:t xml:space="preserve">Global Day of Action for child survival </w:t>
      </w:r>
      <w:r w:rsidRPr="00F4072B">
        <w:rPr>
          <w:rFonts w:ascii="Gill Sans MT" w:hAnsi="Gill Sans MT" w:cstheme="minorHAnsi"/>
          <w:lang w:val="en-US"/>
        </w:rPr>
        <w:t xml:space="preserve">organized in Senegal. The presence of the Ministry of Health and excellent media coverage were key achievements of this first Race for Survival. </w:t>
      </w:r>
    </w:p>
    <w:p w14:paraId="3BDF900B" w14:textId="77777777" w:rsidR="00A72662" w:rsidRPr="0092257B" w:rsidRDefault="00F4072B" w:rsidP="00F2542C">
      <w:pPr>
        <w:numPr>
          <w:ilvl w:val="0"/>
          <w:numId w:val="7"/>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Pr>
          <w:rFonts w:ascii="Gill Sans MT" w:hAnsi="Gill Sans MT" w:cstheme="minorHAnsi"/>
          <w:lang w:val="en-US"/>
        </w:rPr>
        <w:t xml:space="preserve">The </w:t>
      </w:r>
      <w:r w:rsidR="00A72662" w:rsidRPr="0092257B">
        <w:rPr>
          <w:rFonts w:ascii="Gill Sans MT" w:hAnsi="Gill Sans MT" w:cstheme="minorHAnsi"/>
          <w:lang w:val="en-US"/>
        </w:rPr>
        <w:t>contribution of the Senegal delegation to the third Global Forum on Human Resources for Health</w:t>
      </w:r>
      <w:r w:rsidR="00A72662">
        <w:rPr>
          <w:rFonts w:ascii="Gill Sans MT" w:hAnsi="Gill Sans MT" w:cstheme="minorHAnsi"/>
          <w:lang w:val="en-US"/>
        </w:rPr>
        <w:t xml:space="preserve"> </w:t>
      </w:r>
      <w:r>
        <w:rPr>
          <w:rFonts w:ascii="Gill Sans MT" w:hAnsi="Gill Sans MT" w:cstheme="minorHAnsi"/>
          <w:lang w:val="en-US"/>
        </w:rPr>
        <w:t xml:space="preserve">was improved </w:t>
      </w:r>
      <w:r w:rsidR="00A72662">
        <w:rPr>
          <w:rFonts w:ascii="Gill Sans MT" w:hAnsi="Gill Sans MT" w:cstheme="minorHAnsi"/>
          <w:lang w:val="en-US"/>
        </w:rPr>
        <w:t xml:space="preserve">through </w:t>
      </w:r>
      <w:r>
        <w:rPr>
          <w:rFonts w:ascii="Gill Sans MT" w:hAnsi="Gill Sans MT" w:cstheme="minorHAnsi"/>
          <w:lang w:val="en-US"/>
        </w:rPr>
        <w:t>our support to</w:t>
      </w:r>
      <w:r w:rsidR="00A43881">
        <w:rPr>
          <w:rFonts w:ascii="Gill Sans MT" w:hAnsi="Gill Sans MT" w:cstheme="minorHAnsi"/>
          <w:lang w:val="en-US"/>
        </w:rPr>
        <w:t xml:space="preserve"> </w:t>
      </w:r>
      <w:r w:rsidR="00A72662">
        <w:rPr>
          <w:rFonts w:ascii="Gill Sans MT" w:hAnsi="Gill Sans MT" w:cstheme="minorHAnsi"/>
          <w:lang w:val="en-US"/>
        </w:rPr>
        <w:t>the Ministry of Health</w:t>
      </w:r>
      <w:r w:rsidR="00A72662" w:rsidRPr="0092257B">
        <w:rPr>
          <w:rFonts w:ascii="Gill Sans MT" w:hAnsi="Gill Sans MT" w:cstheme="minorHAnsi"/>
          <w:lang w:val="en-US"/>
        </w:rPr>
        <w:t xml:space="preserve">.   </w:t>
      </w:r>
    </w:p>
    <w:p w14:paraId="0AA5BA7C" w14:textId="77777777" w:rsidR="00FE5235" w:rsidRDefault="00FE5235" w:rsidP="00F2542C">
      <w:pPr>
        <w:pBdr>
          <w:top w:val="single" w:sz="4" w:space="1" w:color="auto"/>
          <w:left w:val="single" w:sz="4" w:space="4" w:color="auto"/>
          <w:bottom w:val="single" w:sz="4" w:space="31" w:color="auto"/>
          <w:right w:val="single" w:sz="4" w:space="4" w:color="auto"/>
        </w:pBdr>
        <w:rPr>
          <w:rFonts w:ascii="Gill Sans MT" w:hAnsi="Gill Sans MT" w:cstheme="minorHAnsi"/>
          <w:lang w:val="en-US"/>
        </w:rPr>
      </w:pPr>
    </w:p>
    <w:p w14:paraId="12EFDB46" w14:textId="77777777" w:rsidR="002101AE" w:rsidRDefault="00A72662" w:rsidP="00F2542C">
      <w:pPr>
        <w:pBdr>
          <w:top w:val="single" w:sz="4" w:space="1" w:color="auto"/>
          <w:left w:val="single" w:sz="4" w:space="4" w:color="auto"/>
          <w:bottom w:val="single" w:sz="4" w:space="31" w:color="auto"/>
          <w:right w:val="single" w:sz="4" w:space="4" w:color="auto"/>
        </w:pBdr>
        <w:rPr>
          <w:rFonts w:ascii="Gill Sans MT" w:hAnsi="Gill Sans MT" w:cstheme="minorHAnsi"/>
        </w:rPr>
      </w:pPr>
      <w:r>
        <w:rPr>
          <w:rFonts w:ascii="Gill Sans MT" w:hAnsi="Gill Sans MT" w:cstheme="minorHAnsi"/>
        </w:rPr>
        <w:t xml:space="preserve">Our </w:t>
      </w:r>
      <w:r w:rsidRPr="009837C3">
        <w:rPr>
          <w:rFonts w:ascii="Gill Sans MT" w:hAnsi="Gill Sans MT" w:cstheme="minorHAnsi"/>
          <w:b/>
        </w:rPr>
        <w:t>main lessons learned</w:t>
      </w:r>
      <w:r w:rsidR="002101AE">
        <w:rPr>
          <w:rFonts w:ascii="Gill Sans MT" w:hAnsi="Gill Sans MT" w:cstheme="minorHAnsi"/>
        </w:rPr>
        <w:t xml:space="preserve"> this year </w:t>
      </w:r>
      <w:r>
        <w:rPr>
          <w:rFonts w:ascii="Gill Sans MT" w:hAnsi="Gill Sans MT" w:cstheme="minorHAnsi"/>
        </w:rPr>
        <w:t>on health are:</w:t>
      </w:r>
    </w:p>
    <w:p w14:paraId="16BBD710" w14:textId="77777777" w:rsidR="002101AE" w:rsidRPr="009837C3" w:rsidRDefault="002101AE" w:rsidP="00F2542C">
      <w:pPr>
        <w:numPr>
          <w:ilvl w:val="0"/>
          <w:numId w:val="7"/>
        </w:numPr>
        <w:pBdr>
          <w:top w:val="single" w:sz="4" w:space="1" w:color="auto"/>
          <w:left w:val="single" w:sz="4" w:space="4" w:color="auto"/>
          <w:bottom w:val="single" w:sz="4" w:space="31" w:color="auto"/>
          <w:right w:val="single" w:sz="4" w:space="4" w:color="auto"/>
        </w:pBdr>
        <w:rPr>
          <w:rFonts w:ascii="Gill Sans MT" w:hAnsi="Gill Sans MT" w:cstheme="minorHAnsi"/>
          <w:lang w:val="en-US"/>
        </w:rPr>
      </w:pPr>
      <w:r w:rsidRPr="009837C3">
        <w:rPr>
          <w:rFonts w:ascii="Gill Sans MT" w:hAnsi="Gill Sans MT" w:cstheme="minorHAnsi"/>
          <w:lang w:val="en-US"/>
        </w:rPr>
        <w:t xml:space="preserve">The high turnover at the regional and local level of key positions at the Ministry of Health requires constant attention and has delayed activities – this will have to be taken into account in a next phase. </w:t>
      </w:r>
    </w:p>
    <w:p w14:paraId="3F3630FE" w14:textId="77777777" w:rsidR="00A45469" w:rsidRPr="00F4072B" w:rsidRDefault="009837C3" w:rsidP="00F2542C">
      <w:pPr>
        <w:numPr>
          <w:ilvl w:val="0"/>
          <w:numId w:val="7"/>
        </w:numPr>
        <w:pBdr>
          <w:top w:val="single" w:sz="4" w:space="1" w:color="auto"/>
          <w:left w:val="single" w:sz="4" w:space="4" w:color="auto"/>
          <w:bottom w:val="single" w:sz="4" w:space="31" w:color="auto"/>
          <w:right w:val="single" w:sz="4" w:space="4" w:color="auto"/>
        </w:pBdr>
        <w:jc w:val="both"/>
        <w:rPr>
          <w:rFonts w:ascii="Gill Sans MT" w:hAnsi="Gill Sans MT" w:cstheme="minorHAnsi"/>
          <w:b/>
        </w:rPr>
      </w:pPr>
      <w:r w:rsidRPr="00F4072B">
        <w:rPr>
          <w:rFonts w:ascii="Gill Sans MT" w:hAnsi="Gill Sans MT" w:cstheme="minorHAnsi"/>
          <w:lang w:val="en-US"/>
        </w:rPr>
        <w:t xml:space="preserve">While the current </w:t>
      </w:r>
      <w:r w:rsidR="00F4072B" w:rsidRPr="00F4072B">
        <w:rPr>
          <w:rFonts w:ascii="Gill Sans MT" w:hAnsi="Gill Sans MT" w:cstheme="minorHAnsi"/>
          <w:lang w:val="en-US"/>
        </w:rPr>
        <w:t xml:space="preserve">health program </w:t>
      </w:r>
      <w:r w:rsidRPr="00F4072B">
        <w:rPr>
          <w:rFonts w:ascii="Gill Sans MT" w:hAnsi="Gill Sans MT" w:cstheme="minorHAnsi"/>
          <w:lang w:val="en-US"/>
        </w:rPr>
        <w:t xml:space="preserve">is modest in </w:t>
      </w:r>
      <w:r w:rsidR="00F4072B" w:rsidRPr="00F4072B">
        <w:rPr>
          <w:rFonts w:ascii="Gill Sans MT" w:hAnsi="Gill Sans MT" w:cstheme="minorHAnsi"/>
          <w:lang w:val="en-US"/>
        </w:rPr>
        <w:t>b</w:t>
      </w:r>
      <w:r w:rsidRPr="00F4072B">
        <w:rPr>
          <w:rFonts w:ascii="Gill Sans MT" w:hAnsi="Gill Sans MT" w:cstheme="minorHAnsi"/>
          <w:lang w:val="en-US"/>
        </w:rPr>
        <w:t xml:space="preserve">udget and scale, </w:t>
      </w:r>
      <w:r w:rsidR="002101AE" w:rsidRPr="00F4072B">
        <w:rPr>
          <w:rFonts w:ascii="Gill Sans MT" w:hAnsi="Gill Sans MT" w:cstheme="minorHAnsi"/>
          <w:lang w:val="en-US"/>
        </w:rPr>
        <w:t xml:space="preserve">resources for </w:t>
      </w:r>
      <w:r w:rsidRPr="00F4072B">
        <w:rPr>
          <w:rFonts w:ascii="Gill Sans MT" w:hAnsi="Gill Sans MT" w:cstheme="minorHAnsi"/>
          <w:lang w:val="en-US"/>
        </w:rPr>
        <w:t>managing and monitoring the project</w:t>
      </w:r>
      <w:r w:rsidR="00F4072B" w:rsidRPr="00F4072B">
        <w:rPr>
          <w:rFonts w:ascii="Gill Sans MT" w:hAnsi="Gill Sans MT" w:cstheme="minorHAnsi"/>
          <w:lang w:val="en-US"/>
        </w:rPr>
        <w:t>s</w:t>
      </w:r>
      <w:r w:rsidRPr="00F4072B">
        <w:rPr>
          <w:rFonts w:ascii="Gill Sans MT" w:hAnsi="Gill Sans MT" w:cstheme="minorHAnsi"/>
          <w:lang w:val="en-US"/>
        </w:rPr>
        <w:t xml:space="preserve"> at Save the Children level need to be </w:t>
      </w:r>
      <w:r w:rsidR="00F4072B" w:rsidRPr="00F4072B">
        <w:rPr>
          <w:rFonts w:ascii="Gill Sans MT" w:hAnsi="Gill Sans MT" w:cstheme="minorHAnsi"/>
          <w:lang w:val="en-US"/>
        </w:rPr>
        <w:t>increased</w:t>
      </w:r>
      <w:r w:rsidRPr="00F4072B">
        <w:rPr>
          <w:rFonts w:ascii="Gill Sans MT" w:hAnsi="Gill Sans MT" w:cstheme="minorHAnsi"/>
          <w:lang w:val="en-US"/>
        </w:rPr>
        <w:t xml:space="preserve">. </w:t>
      </w:r>
      <w:r w:rsidR="00F4072B" w:rsidRPr="00F4072B">
        <w:rPr>
          <w:rFonts w:ascii="Gill Sans MT" w:hAnsi="Gill Sans MT" w:cstheme="minorHAnsi"/>
          <w:lang w:val="en-US"/>
        </w:rPr>
        <w:t xml:space="preserve">The project in Fatick is </w:t>
      </w:r>
      <w:r w:rsidRPr="00F4072B">
        <w:rPr>
          <w:rFonts w:ascii="Gill Sans MT" w:hAnsi="Gill Sans MT" w:cstheme="minorHAnsi"/>
          <w:lang w:val="en-US"/>
        </w:rPr>
        <w:t xml:space="preserve">a complex project (logistical supply, partnership with ministry of health, difficulties of accessing the target areas..) and </w:t>
      </w:r>
      <w:r w:rsidR="00F4072B" w:rsidRPr="00F4072B">
        <w:rPr>
          <w:rFonts w:ascii="Gill Sans MT" w:hAnsi="Gill Sans MT" w:cstheme="minorHAnsi"/>
          <w:lang w:val="en-US"/>
        </w:rPr>
        <w:t xml:space="preserve">our advocacy work needs to be scaled up and strengthened through strategic partnerships. Increased staff resources in health (SCI in Senegal has </w:t>
      </w:r>
      <w:r w:rsidRPr="00F4072B">
        <w:rPr>
          <w:rFonts w:ascii="Gill Sans MT" w:hAnsi="Gill Sans MT" w:cstheme="minorHAnsi"/>
          <w:lang w:val="en-US"/>
        </w:rPr>
        <w:t xml:space="preserve">one </w:t>
      </w:r>
      <w:r w:rsidR="00F4072B" w:rsidRPr="00F4072B">
        <w:rPr>
          <w:rFonts w:ascii="Gill Sans MT" w:hAnsi="Gill Sans MT" w:cstheme="minorHAnsi"/>
          <w:lang w:val="en-US"/>
        </w:rPr>
        <w:t xml:space="preserve">health </w:t>
      </w:r>
      <w:r w:rsidRPr="00F4072B">
        <w:rPr>
          <w:rFonts w:ascii="Gill Sans MT" w:hAnsi="Gill Sans MT" w:cstheme="minorHAnsi"/>
          <w:lang w:val="en-US"/>
        </w:rPr>
        <w:t xml:space="preserve">staff, a project officer) </w:t>
      </w:r>
      <w:r w:rsidR="00F4072B" w:rsidRPr="00F4072B">
        <w:rPr>
          <w:rFonts w:ascii="Gill Sans MT" w:hAnsi="Gill Sans MT" w:cstheme="minorHAnsi"/>
          <w:lang w:val="en-US"/>
        </w:rPr>
        <w:t xml:space="preserve">would ensure a stronger process of quality insurance and enable us to seize new opportunities, including on advocacy for health and nutrition. </w:t>
      </w:r>
    </w:p>
    <w:p w14:paraId="1D02523F" w14:textId="77777777" w:rsidR="00A325D2" w:rsidRDefault="00A325D2" w:rsidP="00F2542C">
      <w:pPr>
        <w:jc w:val="both"/>
        <w:rPr>
          <w:rFonts w:ascii="Gill Sans MT" w:hAnsi="Gill Sans MT" w:cstheme="minorHAnsi"/>
          <w:b/>
        </w:rPr>
      </w:pPr>
    </w:p>
    <w:p w14:paraId="7D1A09C8" w14:textId="77777777" w:rsidR="00F2542C" w:rsidRDefault="00F2542C" w:rsidP="00F2542C">
      <w:pPr>
        <w:jc w:val="both"/>
        <w:rPr>
          <w:rFonts w:ascii="Gill Sans MT" w:hAnsi="Gill Sans MT" w:cstheme="minorHAnsi"/>
          <w:b/>
        </w:rPr>
      </w:pPr>
    </w:p>
    <w:p w14:paraId="6AF6481F" w14:textId="77777777" w:rsidR="00F2542C" w:rsidRDefault="00F2542C" w:rsidP="00F2542C">
      <w:pPr>
        <w:jc w:val="both"/>
        <w:rPr>
          <w:rFonts w:ascii="Gill Sans MT" w:hAnsi="Gill Sans MT" w:cstheme="minorHAnsi"/>
          <w:b/>
        </w:rPr>
      </w:pPr>
    </w:p>
    <w:p w14:paraId="0539C0E1" w14:textId="77777777" w:rsidR="00732ABF" w:rsidRPr="006D30D0" w:rsidRDefault="00732ABF" w:rsidP="00F2542C">
      <w:pPr>
        <w:jc w:val="both"/>
        <w:rPr>
          <w:rFonts w:ascii="Gill Sans MT" w:hAnsi="Gill Sans MT" w:cstheme="minorHAnsi"/>
          <w:b/>
        </w:rPr>
      </w:pPr>
      <w:r>
        <w:rPr>
          <w:rFonts w:ascii="Gill Sans MT" w:hAnsi="Gill Sans MT" w:cstheme="minorHAnsi"/>
          <w:b/>
        </w:rPr>
        <w:t>EVERY</w:t>
      </w:r>
      <w:r w:rsidR="00082A75">
        <w:rPr>
          <w:rFonts w:ascii="Gill Sans MT" w:hAnsi="Gill Sans MT" w:cstheme="minorHAnsi"/>
          <w:b/>
        </w:rPr>
        <w:t xml:space="preserve"> </w:t>
      </w:r>
      <w:r>
        <w:rPr>
          <w:rFonts w:ascii="Gill Sans MT" w:hAnsi="Gill Sans MT" w:cstheme="minorHAnsi"/>
          <w:b/>
        </w:rPr>
        <w:t>ONE Campaign</w:t>
      </w:r>
    </w:p>
    <w:p w14:paraId="13A935B5" w14:textId="77777777" w:rsidR="00732ABF" w:rsidRPr="009837C3" w:rsidRDefault="009837C3" w:rsidP="00F2542C">
      <w:pPr>
        <w:pBdr>
          <w:top w:val="single" w:sz="4" w:space="1" w:color="auto"/>
          <w:left w:val="single" w:sz="4" w:space="4" w:color="auto"/>
          <w:bottom w:val="single" w:sz="4" w:space="31" w:color="auto"/>
          <w:right w:val="single" w:sz="4" w:space="4" w:color="auto"/>
        </w:pBdr>
        <w:rPr>
          <w:rFonts w:ascii="Gill Sans MT" w:hAnsi="Gill Sans MT" w:cstheme="minorHAnsi"/>
        </w:rPr>
      </w:pPr>
      <w:r w:rsidRPr="002101AE">
        <w:rPr>
          <w:rFonts w:ascii="Gill Sans MT" w:hAnsi="Gill Sans MT" w:cstheme="minorHAnsi"/>
        </w:rPr>
        <w:t>Although we are not a country focus, we have increasingly contributed to the Every One Campaign</w:t>
      </w:r>
      <w:r>
        <w:rPr>
          <w:rFonts w:ascii="Gill Sans MT" w:hAnsi="Gill Sans MT" w:cstheme="minorHAnsi"/>
        </w:rPr>
        <w:t xml:space="preserve">, including through our advocacy work (see under health advocacy) and the first Race for Survival organised in Senegal (see also the AMT on Race for Survival). </w:t>
      </w:r>
    </w:p>
    <w:p w14:paraId="5D7E1C8C" w14:textId="77777777" w:rsidR="00732ABF" w:rsidRPr="006D30D0" w:rsidRDefault="00732ABF" w:rsidP="00F2542C">
      <w:pPr>
        <w:pBdr>
          <w:top w:val="single" w:sz="4" w:space="1" w:color="auto"/>
          <w:left w:val="single" w:sz="4" w:space="4" w:color="auto"/>
          <w:bottom w:val="single" w:sz="4" w:space="31" w:color="auto"/>
          <w:right w:val="single" w:sz="4" w:space="4" w:color="auto"/>
        </w:pBdr>
        <w:rPr>
          <w:rFonts w:ascii="Gill Sans MT" w:hAnsi="Gill Sans MT" w:cstheme="minorHAnsi"/>
          <w:i/>
        </w:rPr>
      </w:pPr>
    </w:p>
    <w:p w14:paraId="4A19FEC0" w14:textId="77777777" w:rsidR="00732ABF" w:rsidRDefault="00732ABF" w:rsidP="00F2542C">
      <w:pPr>
        <w:jc w:val="both"/>
        <w:rPr>
          <w:rFonts w:ascii="Gill Sans MT" w:hAnsi="Gill Sans MT" w:cstheme="minorHAnsi"/>
          <w:b/>
        </w:rPr>
      </w:pPr>
    </w:p>
    <w:p w14:paraId="624EE80F" w14:textId="77777777" w:rsidR="00732ABF" w:rsidRDefault="00732ABF" w:rsidP="00F2542C">
      <w:pPr>
        <w:jc w:val="both"/>
        <w:rPr>
          <w:rFonts w:ascii="Gill Sans MT" w:hAnsi="Gill Sans MT" w:cstheme="minorHAnsi"/>
          <w:b/>
        </w:rPr>
      </w:pPr>
    </w:p>
    <w:p w14:paraId="08297F43" w14:textId="77777777" w:rsidR="00732ABF" w:rsidRDefault="00732ABF" w:rsidP="00F2542C">
      <w:pPr>
        <w:jc w:val="both"/>
        <w:rPr>
          <w:rFonts w:ascii="Gill Sans MT" w:hAnsi="Gill Sans MT" w:cstheme="minorHAnsi"/>
          <w:b/>
        </w:rPr>
      </w:pPr>
    </w:p>
    <w:p w14:paraId="3B03F1D3" w14:textId="77777777" w:rsidR="007176A4" w:rsidRDefault="007176A4" w:rsidP="00F2542C">
      <w:pPr>
        <w:rPr>
          <w:rFonts w:ascii="Gill Sans MT" w:hAnsi="Gill Sans MT" w:cstheme="minorHAnsi"/>
          <w:b/>
        </w:rPr>
      </w:pPr>
      <w:r>
        <w:rPr>
          <w:rFonts w:ascii="Gill Sans MT" w:hAnsi="Gill Sans MT" w:cstheme="minorHAnsi"/>
          <w:b/>
        </w:rPr>
        <w:br w:type="page"/>
      </w:r>
    </w:p>
    <w:p w14:paraId="2161063E" w14:textId="77777777" w:rsidR="00A325D2" w:rsidRPr="009D7B1F" w:rsidRDefault="00A325D2" w:rsidP="00D6573E">
      <w:pPr>
        <w:pStyle w:val="Heading1"/>
        <w:numPr>
          <w:ilvl w:val="0"/>
          <w:numId w:val="13"/>
        </w:numPr>
      </w:pPr>
      <w:bookmarkStart w:id="4" w:name="_Toc384042245"/>
      <w:r w:rsidRPr="0085051C">
        <w:lastRenderedPageBreak/>
        <w:t>Management and Operational Results</w:t>
      </w:r>
      <w:bookmarkEnd w:id="4"/>
    </w:p>
    <w:p w14:paraId="22394327" w14:textId="77777777" w:rsidR="009D7B1F" w:rsidRPr="00FF4116" w:rsidRDefault="009D7B1F" w:rsidP="00F2542C">
      <w:pPr>
        <w:pStyle w:val="ListParagraph"/>
        <w:ind w:left="284"/>
        <w:jc w:val="both"/>
        <w:rPr>
          <w:rFonts w:ascii="Gill Sans MT" w:hAnsi="Gill Sans MT" w:cstheme="minorHAnsi"/>
          <w:b/>
        </w:rPr>
      </w:pPr>
    </w:p>
    <w:p w14:paraId="09D205B7" w14:textId="77777777" w:rsidR="005948B3" w:rsidRDefault="00547BA7" w:rsidP="00AE59BB">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547BA7">
        <w:rPr>
          <w:rFonts w:ascii="Gill Sans MT" w:hAnsi="Gill Sans MT" w:cstheme="minorHAnsi"/>
        </w:rPr>
        <w:t xml:space="preserve">After the transition of Senegal to SCI in August 2012, the Senegal country office continued their journey under a </w:t>
      </w:r>
      <w:r w:rsidR="000046F4">
        <w:rPr>
          <w:rFonts w:ascii="Gill Sans MT" w:hAnsi="Gill Sans MT" w:cstheme="minorHAnsi"/>
        </w:rPr>
        <w:t>C</w:t>
      </w:r>
      <w:r w:rsidRPr="00547BA7">
        <w:rPr>
          <w:rFonts w:ascii="Gill Sans MT" w:hAnsi="Gill Sans MT" w:cstheme="minorHAnsi"/>
        </w:rPr>
        <w:t xml:space="preserve">ountry </w:t>
      </w:r>
      <w:r w:rsidR="000046F4">
        <w:rPr>
          <w:rFonts w:ascii="Gill Sans MT" w:hAnsi="Gill Sans MT" w:cstheme="minorHAnsi"/>
        </w:rPr>
        <w:t>D</w:t>
      </w:r>
      <w:r w:rsidRPr="00547BA7">
        <w:rPr>
          <w:rFonts w:ascii="Gill Sans MT" w:hAnsi="Gill Sans MT" w:cstheme="minorHAnsi"/>
        </w:rPr>
        <w:t>irector who was also their transition manager. This would have been empowering for the country program, however, the country director left after 3 months to join another organization. The country office was left without a leader at a very critical post transition period. A new CD was quickly identified and recruited to start in February 2013. The new CD had difficulty in understanding the complexity of the SCI Senegal program which had a regional remit</w:t>
      </w:r>
      <w:r w:rsidR="00783B76">
        <w:rPr>
          <w:rFonts w:ascii="Gill Sans MT" w:hAnsi="Gill Sans MT" w:cstheme="minorHAnsi"/>
        </w:rPr>
        <w:t>. Some decisions seemed to create</w:t>
      </w:r>
      <w:r w:rsidRPr="00547BA7">
        <w:rPr>
          <w:rFonts w:ascii="Gill Sans MT" w:hAnsi="Gill Sans MT" w:cstheme="minorHAnsi"/>
        </w:rPr>
        <w:t xml:space="preserve"> more uncertainty and confusion for the team</w:t>
      </w:r>
      <w:r w:rsidR="00783B76">
        <w:rPr>
          <w:rFonts w:ascii="Gill Sans MT" w:hAnsi="Gill Sans MT" w:cstheme="minorHAnsi"/>
        </w:rPr>
        <w:t xml:space="preserve"> and the CD resigned in June</w:t>
      </w:r>
      <w:r w:rsidRPr="00547BA7">
        <w:rPr>
          <w:rFonts w:ascii="Gill Sans MT" w:hAnsi="Gill Sans MT" w:cstheme="minorHAnsi"/>
        </w:rPr>
        <w:t>. The unfolding of the leadership of the Senegal program post transition, had a very significant impact on the delivery capacity of the country office team. By June 2013 the morale of the staff was at their lowest with many believing that the regional office would shut down this program.</w:t>
      </w:r>
      <w:r w:rsidR="00AE59BB">
        <w:rPr>
          <w:rFonts w:ascii="Gill Sans MT" w:hAnsi="Gill Sans MT" w:cstheme="minorHAnsi"/>
        </w:rPr>
        <w:t xml:space="preserve"> </w:t>
      </w:r>
      <w:r w:rsidR="00AE59BB" w:rsidRPr="00547BA7">
        <w:rPr>
          <w:rFonts w:ascii="Gill Sans MT" w:hAnsi="Gill Sans MT" w:cstheme="minorHAnsi"/>
        </w:rPr>
        <w:t>Gaps in staffing created its own set of problems in terms of program management with a few staff overloaded and overwhelmed by the workload combined with low motivation arising from their leadership challenges.</w:t>
      </w:r>
      <w:r w:rsidR="00AE59BB">
        <w:rPr>
          <w:rFonts w:ascii="Gill Sans MT" w:hAnsi="Gill Sans MT" w:cstheme="minorHAnsi"/>
        </w:rPr>
        <w:t xml:space="preserve">  </w:t>
      </w:r>
    </w:p>
    <w:p w14:paraId="5931E916" w14:textId="77777777" w:rsidR="00547BA7" w:rsidRPr="00547BA7" w:rsidRDefault="00AE59BB" w:rsidP="00AE59BB">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547BA7">
        <w:rPr>
          <w:rFonts w:ascii="Gill Sans MT" w:hAnsi="Gill Sans MT" w:cstheme="minorHAnsi"/>
        </w:rPr>
        <w:t xml:space="preserve">It is with this in mind the regional director in discussion with </w:t>
      </w:r>
      <w:r>
        <w:rPr>
          <w:rFonts w:ascii="Gill Sans MT" w:hAnsi="Gill Sans MT" w:cstheme="minorHAnsi"/>
        </w:rPr>
        <w:t xml:space="preserve">the Regional </w:t>
      </w:r>
      <w:r w:rsidRPr="00547BA7">
        <w:rPr>
          <w:rFonts w:ascii="Gill Sans MT" w:hAnsi="Gill Sans MT" w:cstheme="minorHAnsi"/>
        </w:rPr>
        <w:t xml:space="preserve">SMT agreed that the </w:t>
      </w:r>
      <w:r>
        <w:rPr>
          <w:rFonts w:ascii="Gill Sans MT" w:hAnsi="Gill Sans MT" w:cstheme="minorHAnsi"/>
        </w:rPr>
        <w:t>D</w:t>
      </w:r>
      <w:r w:rsidRPr="00547BA7">
        <w:rPr>
          <w:rFonts w:ascii="Gill Sans MT" w:hAnsi="Gill Sans MT" w:cstheme="minorHAnsi"/>
        </w:rPr>
        <w:t xml:space="preserve">eputy RD would take over the responsibilities of Senegal CD while a new process was launched for the recruitment of a CD for Senegal. The interim CD started in July and until December 2013 took on the task of getting the team back on track and </w:t>
      </w:r>
      <w:r w:rsidR="005948B3">
        <w:rPr>
          <w:rFonts w:ascii="Gill Sans MT" w:hAnsi="Gill Sans MT" w:cstheme="minorHAnsi"/>
        </w:rPr>
        <w:t xml:space="preserve">key </w:t>
      </w:r>
      <w:r w:rsidRPr="00547BA7">
        <w:rPr>
          <w:rFonts w:ascii="Gill Sans MT" w:hAnsi="Gill Sans MT" w:cstheme="minorHAnsi"/>
        </w:rPr>
        <w:t>issues resolved as quickly as was feasible, despite the late start of some of the programs</w:t>
      </w:r>
    </w:p>
    <w:p w14:paraId="6AC7E641" w14:textId="77777777" w:rsidR="00547BA7" w:rsidRPr="00547BA7" w:rsidRDefault="00547BA7">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547BA7">
        <w:rPr>
          <w:rFonts w:ascii="Gill Sans MT" w:hAnsi="Gill Sans MT" w:cstheme="minorHAnsi"/>
        </w:rPr>
        <w:t>SCI Senegal delivers programs in 7 countries in the West &amp; Central African region as well as in Senegal. It is the smallest country program of SCI in WCA with a portfolio of 5 million USD and a major funding from Save the Children Sweden (SCS).  However, most of the projects are delivered through partners in these countries out of the Senegal country office which is not appropriately capacitated to monitor partner activities. The bulk of the funding is delivered to partners with proportionally low funds allocated for on the ground support to partners, capacity building and monitoring of activities. A key problem that surfaced by mid-year was the fact that delays in the conclusion of the transition fund summaries as well as those for the current year programming until mid-July 2013 had caused consequent delays in the delivery of funds to partners and therefore a significant delay in the overall delivery timeline..</w:t>
      </w:r>
      <w:r w:rsidR="007D61A1">
        <w:rPr>
          <w:rFonts w:ascii="Gill Sans MT" w:hAnsi="Gill Sans MT" w:cstheme="minorHAnsi"/>
        </w:rPr>
        <w:t xml:space="preserve"> similarly, at the end of December 2013, the Senegal CO reported $283k in pre-transition partner advances outstanding. These balances were not being monitored because of the delays in agreeing balances with SCI and SCS member. These balances were posted in the financial system in September 2013 for a country programme that transitioned in August 2012.</w:t>
      </w:r>
      <w:r w:rsidRPr="00547BA7">
        <w:rPr>
          <w:rFonts w:ascii="Gill Sans MT" w:hAnsi="Gill Sans MT" w:cstheme="minorHAnsi"/>
        </w:rPr>
        <w:t xml:space="preserve"> The Senegal CO was one of the first SCI WCA countries to be audited by the SCI global assurance team in March 2013 during the time that the second CD was in place. The result </w:t>
      </w:r>
      <w:r w:rsidR="007D61A1">
        <w:rPr>
          <w:rFonts w:ascii="Gill Sans MT" w:hAnsi="Gill Sans MT" w:cstheme="minorHAnsi"/>
        </w:rPr>
        <w:t>of this audit was quite poor</w:t>
      </w:r>
      <w:r w:rsidRPr="00547BA7">
        <w:rPr>
          <w:rFonts w:ascii="Gill Sans MT" w:hAnsi="Gill Sans MT" w:cstheme="minorHAnsi"/>
        </w:rPr>
        <w:t xml:space="preserve"> and provided guidance through recommendations on how the CO could get back on track and be SCI compliant on policies, systems and ways of working.</w:t>
      </w:r>
    </w:p>
    <w:p w14:paraId="11D92FB8" w14:textId="77777777" w:rsidR="00547BA7" w:rsidRPr="00547BA7" w:rsidRDefault="00547BA7" w:rsidP="00547BA7">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0E0F41">
        <w:rPr>
          <w:rFonts w:ascii="Gill Sans MT" w:hAnsi="Gill Sans MT" w:cstheme="minorHAnsi"/>
          <w:b/>
        </w:rPr>
        <w:t>STAFFING</w:t>
      </w:r>
      <w:r w:rsidRPr="00547BA7">
        <w:rPr>
          <w:rFonts w:ascii="Gill Sans MT" w:hAnsi="Gill Sans MT" w:cstheme="minorHAnsi"/>
        </w:rPr>
        <w:t xml:space="preserve">: </w:t>
      </w:r>
    </w:p>
    <w:p w14:paraId="54087318" w14:textId="77777777" w:rsidR="00463D70" w:rsidRDefault="00547BA7" w:rsidP="00547BA7">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547BA7">
        <w:rPr>
          <w:rFonts w:ascii="Gill Sans MT" w:hAnsi="Gill Sans MT" w:cstheme="minorHAnsi"/>
        </w:rPr>
        <w:t>The key challenge was to get key staff in place. The recruitment of the PDQ Dir</w:t>
      </w:r>
      <w:r w:rsidR="005948B3">
        <w:rPr>
          <w:rFonts w:ascii="Gill Sans MT" w:hAnsi="Gill Sans MT" w:cstheme="minorHAnsi"/>
        </w:rPr>
        <w:t xml:space="preserve">ector, also responsible for Program operations, </w:t>
      </w:r>
      <w:r w:rsidRPr="00547BA7">
        <w:rPr>
          <w:rFonts w:ascii="Gill Sans MT" w:hAnsi="Gill Sans MT" w:cstheme="minorHAnsi"/>
        </w:rPr>
        <w:t>was completed</w:t>
      </w:r>
      <w:r w:rsidR="005948B3">
        <w:rPr>
          <w:rFonts w:ascii="Gill Sans MT" w:hAnsi="Gill Sans MT" w:cstheme="minorHAnsi"/>
        </w:rPr>
        <w:t>. A</w:t>
      </w:r>
      <w:r w:rsidR="007D61A1">
        <w:rPr>
          <w:rFonts w:ascii="Gill Sans MT" w:hAnsi="Gill Sans MT" w:cstheme="minorHAnsi"/>
        </w:rPr>
        <w:t xml:space="preserve"> </w:t>
      </w:r>
      <w:r w:rsidRPr="00547BA7">
        <w:rPr>
          <w:rFonts w:ascii="Gill Sans MT" w:hAnsi="Gill Sans MT" w:cstheme="minorHAnsi"/>
        </w:rPr>
        <w:t xml:space="preserve">strong PDQ director came on board from mid-August and worked hard to catch up on programmatic issues and get the program team back on track very quickly. There were gaps on program assistants for Child protection and Child rights governance that were also filled. This freed up some of the time of the program managers to follow up with their partners on progress and delivery issues. Job descriptions of individual staff in all departments were reviewed and the entire Senegal team set up their clear and concrete objectives from July to December 2013 with the understanding </w:t>
      </w:r>
      <w:r w:rsidRPr="00547BA7">
        <w:rPr>
          <w:rFonts w:ascii="Gill Sans MT" w:hAnsi="Gill Sans MT" w:cstheme="minorHAnsi"/>
        </w:rPr>
        <w:lastRenderedPageBreak/>
        <w:t>that for 2013 they would be held responsible for these 6 months and their work evaluated accordingly. The only problematic area to date has been the post of M&amp;E specialist who had to go on maternity leave at a very crucial period and the person recruited to cover this position left for another organization</w:t>
      </w:r>
      <w:r w:rsidR="005948B3">
        <w:rPr>
          <w:rFonts w:ascii="Gill Sans MT" w:hAnsi="Gill Sans MT" w:cstheme="minorHAnsi"/>
        </w:rPr>
        <w:t xml:space="preserve"> with</w:t>
      </w:r>
      <w:r w:rsidRPr="00547BA7">
        <w:rPr>
          <w:rFonts w:ascii="Gill Sans MT" w:hAnsi="Gill Sans MT" w:cstheme="minorHAnsi"/>
        </w:rPr>
        <w:t xml:space="preserve">in the month. Help was received from the regional team but </w:t>
      </w:r>
      <w:r w:rsidR="005948B3">
        <w:rPr>
          <w:rFonts w:ascii="Gill Sans MT" w:hAnsi="Gill Sans MT" w:cstheme="minorHAnsi"/>
        </w:rPr>
        <w:t xml:space="preserve">it </w:t>
      </w:r>
      <w:r w:rsidRPr="00547BA7">
        <w:rPr>
          <w:rFonts w:ascii="Gill Sans MT" w:hAnsi="Gill Sans MT" w:cstheme="minorHAnsi"/>
        </w:rPr>
        <w:t>is something that still needs to be resolved. With the staffing issues resolved significantly, there was a new dynamic within the CO and the change and progress quickly becoming evident.</w:t>
      </w:r>
    </w:p>
    <w:p w14:paraId="633443F9" w14:textId="77777777" w:rsidR="00547BA7" w:rsidRPr="00547BA7" w:rsidRDefault="00547BA7" w:rsidP="00547BA7">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547BA7">
        <w:rPr>
          <w:rFonts w:ascii="Gill Sans MT" w:hAnsi="Gill Sans MT" w:cstheme="minorHAnsi"/>
        </w:rPr>
        <w:t xml:space="preserve">The support from the region for the CO has increased both in quality and quantity because of co-location e.g. inputs to </w:t>
      </w:r>
      <w:r w:rsidR="007D61A1">
        <w:rPr>
          <w:rFonts w:ascii="Gill Sans MT" w:hAnsi="Gill Sans MT" w:cstheme="minorHAnsi"/>
        </w:rPr>
        <w:t>country action plan (</w:t>
      </w:r>
      <w:r w:rsidRPr="00547BA7">
        <w:rPr>
          <w:rFonts w:ascii="Gill Sans MT" w:hAnsi="Gill Sans MT" w:cstheme="minorHAnsi"/>
        </w:rPr>
        <w:t>CAP</w:t>
      </w:r>
      <w:r w:rsidR="007D61A1">
        <w:rPr>
          <w:rFonts w:ascii="Gill Sans MT" w:hAnsi="Gill Sans MT" w:cstheme="minorHAnsi"/>
        </w:rPr>
        <w:t>)</w:t>
      </w:r>
      <w:r w:rsidRPr="00547BA7">
        <w:rPr>
          <w:rFonts w:ascii="Gill Sans MT" w:hAnsi="Gill Sans MT" w:cstheme="minorHAnsi"/>
        </w:rPr>
        <w:t>, proposal development, M&amp;E etc. Consequently, team collaboration and consultation have reached a level that facilitates quick response to program delivery and has also resulted in more innovative program design and solutions.</w:t>
      </w:r>
    </w:p>
    <w:p w14:paraId="672082A5" w14:textId="77777777" w:rsidR="00547BA7" w:rsidRDefault="00547BA7" w:rsidP="00547BA7">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p>
    <w:p w14:paraId="6540CFF4" w14:textId="77777777" w:rsidR="00547BA7" w:rsidRPr="00547BA7" w:rsidRDefault="00547BA7" w:rsidP="00547BA7">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0E0F41">
        <w:rPr>
          <w:rFonts w:ascii="Gill Sans MT" w:hAnsi="Gill Sans MT" w:cstheme="minorHAnsi"/>
          <w:b/>
        </w:rPr>
        <w:t>OPERATIONS PLATFORM</w:t>
      </w:r>
      <w:r w:rsidRPr="00547BA7">
        <w:rPr>
          <w:rFonts w:ascii="Gill Sans MT" w:hAnsi="Gill Sans MT" w:cstheme="minorHAnsi"/>
        </w:rPr>
        <w:t xml:space="preserve">: </w:t>
      </w:r>
    </w:p>
    <w:p w14:paraId="02769F95" w14:textId="77777777" w:rsidR="00547BA7" w:rsidRPr="00547BA7" w:rsidRDefault="00547BA7" w:rsidP="00547BA7">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0E0F41">
        <w:rPr>
          <w:rFonts w:ascii="Gill Sans MT" w:hAnsi="Gill Sans MT" w:cstheme="minorHAnsi"/>
          <w:b/>
        </w:rPr>
        <w:t>Finance</w:t>
      </w:r>
      <w:r w:rsidRPr="00547BA7">
        <w:rPr>
          <w:rFonts w:ascii="Gill Sans MT" w:hAnsi="Gill Sans MT" w:cstheme="minorHAnsi"/>
        </w:rPr>
        <w:t>:  The two key areas that needed attention</w:t>
      </w:r>
      <w:r w:rsidR="0071475E">
        <w:rPr>
          <w:rFonts w:ascii="Gill Sans MT" w:hAnsi="Gill Sans MT" w:cstheme="minorHAnsi"/>
        </w:rPr>
        <w:t xml:space="preserve"> post transition</w:t>
      </w:r>
      <w:r w:rsidRPr="00547BA7">
        <w:rPr>
          <w:rFonts w:ascii="Gill Sans MT" w:hAnsi="Gill Sans MT" w:cstheme="minorHAnsi"/>
        </w:rPr>
        <w:t xml:space="preserve"> were </w:t>
      </w:r>
      <w:r w:rsidR="0071475E">
        <w:rPr>
          <w:rFonts w:ascii="Gill Sans MT" w:hAnsi="Gill Sans MT" w:cstheme="minorHAnsi"/>
        </w:rPr>
        <w:t xml:space="preserve">aligning </w:t>
      </w:r>
      <w:r w:rsidRPr="00547BA7">
        <w:rPr>
          <w:rFonts w:ascii="Gill Sans MT" w:hAnsi="Gill Sans MT" w:cstheme="minorHAnsi"/>
        </w:rPr>
        <w:t>finance</w:t>
      </w:r>
      <w:r w:rsidR="00DA6CC5">
        <w:rPr>
          <w:rFonts w:ascii="Gill Sans MT" w:hAnsi="Gill Sans MT" w:cstheme="minorHAnsi"/>
        </w:rPr>
        <w:t xml:space="preserve"> processes and procedures under SCI as well as supporting partners to align their own processes and procedures in line with SCI new protocols. </w:t>
      </w:r>
      <w:r w:rsidRPr="00547BA7">
        <w:rPr>
          <w:rFonts w:ascii="Gill Sans MT" w:hAnsi="Gill Sans MT" w:cstheme="minorHAnsi"/>
        </w:rPr>
        <w:t xml:space="preserve">The Senegal CO </w:t>
      </w:r>
      <w:r w:rsidR="00DA6CC5">
        <w:rPr>
          <w:rFonts w:ascii="Gill Sans MT" w:hAnsi="Gill Sans MT" w:cstheme="minorHAnsi"/>
        </w:rPr>
        <w:t>restructured the finance department under two main pillars namely general financial accounting and award financial support which includes support to partners. Key positions were filled and team focused on enhancing the use of the new SCI business management system, Aggresso/AMS. The team received support from the regional technical team. The finance team also worked closely with the key member SCS (Save the Children Sweden), participated actively in CCG and various meetings with regional management which helped to clarify ways of working and where and how technical support can be requested and received.</w:t>
      </w:r>
    </w:p>
    <w:p w14:paraId="1BD4C5BD" w14:textId="77777777" w:rsidR="00547BA7" w:rsidRPr="00547BA7" w:rsidRDefault="00547BA7" w:rsidP="00547BA7">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0E0F41">
        <w:rPr>
          <w:rFonts w:ascii="Gill Sans MT" w:hAnsi="Gill Sans MT" w:cstheme="minorHAnsi"/>
          <w:b/>
        </w:rPr>
        <w:t>Awards Management</w:t>
      </w:r>
      <w:r w:rsidRPr="00547BA7">
        <w:rPr>
          <w:rFonts w:ascii="Gill Sans MT" w:hAnsi="Gill Sans MT" w:cstheme="minorHAnsi"/>
        </w:rPr>
        <w:t>: The gaps in the management of the awards</w:t>
      </w:r>
      <w:r w:rsidR="000654AC">
        <w:rPr>
          <w:rFonts w:ascii="Gill Sans MT" w:hAnsi="Gill Sans MT" w:cstheme="minorHAnsi"/>
        </w:rPr>
        <w:t xml:space="preserve"> management</w:t>
      </w:r>
      <w:r w:rsidRPr="00547BA7">
        <w:rPr>
          <w:rFonts w:ascii="Gill Sans MT" w:hAnsi="Gill Sans MT" w:cstheme="minorHAnsi"/>
        </w:rPr>
        <w:t xml:space="preserve"> system</w:t>
      </w:r>
      <w:r w:rsidR="000654AC">
        <w:rPr>
          <w:rFonts w:ascii="Gill Sans MT" w:hAnsi="Gill Sans MT" w:cstheme="minorHAnsi"/>
        </w:rPr>
        <w:t xml:space="preserve"> (AMS)</w:t>
      </w:r>
      <w:r w:rsidRPr="00547BA7">
        <w:rPr>
          <w:rFonts w:ascii="Gill Sans MT" w:hAnsi="Gill Sans MT" w:cstheme="minorHAnsi"/>
        </w:rPr>
        <w:t xml:space="preserve"> were addressed. The recommendations from the internal audit from SCI Centre were very helpful in addressing key gaps in the management of awards. Some of the knowledge gaps were addressed through trainings scheduled for program staff and ensuring that a staff member was identified and trained to monitor and manage all awards related processes for the CO. </w:t>
      </w:r>
    </w:p>
    <w:p w14:paraId="4CB29663" w14:textId="77777777" w:rsidR="00547BA7" w:rsidRPr="00547BA7" w:rsidRDefault="00547BA7" w:rsidP="00547BA7">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0E0F41">
        <w:rPr>
          <w:rFonts w:ascii="Gill Sans MT" w:hAnsi="Gill Sans MT" w:cstheme="minorHAnsi"/>
          <w:b/>
        </w:rPr>
        <w:t>Partnerships</w:t>
      </w:r>
      <w:r w:rsidRPr="00547BA7">
        <w:rPr>
          <w:rFonts w:ascii="Gill Sans MT" w:hAnsi="Gill Sans MT" w:cstheme="minorHAnsi"/>
        </w:rPr>
        <w:t>:  Given that 70% of the programs were delivered through partners in Senegal and other countries in the region, it was critical for the program teams in Senegal to have more dialogue including significant M&amp;E and capacity building with partners.</w:t>
      </w:r>
      <w:r w:rsidR="000654AC">
        <w:rPr>
          <w:rFonts w:ascii="Gill Sans MT" w:hAnsi="Gill Sans MT" w:cstheme="minorHAnsi"/>
        </w:rPr>
        <w:t xml:space="preserve"> The transition process was</w:t>
      </w:r>
      <w:r w:rsidRPr="00547BA7">
        <w:rPr>
          <w:rFonts w:ascii="Gill Sans MT" w:hAnsi="Gill Sans MT" w:cstheme="minorHAnsi"/>
        </w:rPr>
        <w:t xml:space="preserve"> difficult for the partners as well since SCI had new ways of working including new policies and procedures. This needed to be communicated and </w:t>
      </w:r>
      <w:r w:rsidR="00661135">
        <w:rPr>
          <w:rFonts w:ascii="Gill Sans MT" w:hAnsi="Gill Sans MT" w:cstheme="minorHAnsi"/>
        </w:rPr>
        <w:t>disseminated</w:t>
      </w:r>
      <w:r w:rsidRPr="00547BA7">
        <w:rPr>
          <w:rFonts w:ascii="Gill Sans MT" w:hAnsi="Gill Sans MT" w:cstheme="minorHAnsi"/>
        </w:rPr>
        <w:t xml:space="preserve"> to the partners, ensuring that they had the right capacity and tools to work within the SCI system. Program staff spent a significant part of their time during</w:t>
      </w:r>
      <w:r w:rsidR="00661135">
        <w:rPr>
          <w:rFonts w:ascii="Gill Sans MT" w:hAnsi="Gill Sans MT" w:cstheme="minorHAnsi"/>
        </w:rPr>
        <w:t xml:space="preserve"> the last 2 quarters of 2013 </w:t>
      </w:r>
      <w:r w:rsidRPr="00547BA7">
        <w:rPr>
          <w:rFonts w:ascii="Gill Sans MT" w:hAnsi="Gill Sans MT" w:cstheme="minorHAnsi"/>
        </w:rPr>
        <w:t xml:space="preserve">providing support to partners. The finance team </w:t>
      </w:r>
      <w:r w:rsidR="00661135">
        <w:rPr>
          <w:rFonts w:ascii="Gill Sans MT" w:hAnsi="Gill Sans MT" w:cstheme="minorHAnsi"/>
        </w:rPr>
        <w:t>supported partners identify a financial software plus trained them on the applications of the system. This initiative was to facilitate better tracking of costs and improving the management of their grants.</w:t>
      </w:r>
    </w:p>
    <w:p w14:paraId="7A4043AE" w14:textId="77777777" w:rsidR="009D7B1F" w:rsidRPr="009D7B1F" w:rsidRDefault="00547BA7" w:rsidP="00F2542C">
      <w:pPr>
        <w:pBdr>
          <w:top w:val="single" w:sz="4" w:space="1" w:color="auto"/>
          <w:left w:val="single" w:sz="4" w:space="4" w:color="auto"/>
          <w:bottom w:val="single" w:sz="4" w:space="31" w:color="auto"/>
          <w:right w:val="single" w:sz="4" w:space="4" w:color="auto"/>
        </w:pBdr>
        <w:spacing w:after="120"/>
        <w:jc w:val="both"/>
        <w:rPr>
          <w:rFonts w:ascii="Gill Sans MT" w:hAnsi="Gill Sans MT" w:cstheme="minorHAnsi"/>
        </w:rPr>
      </w:pPr>
      <w:r w:rsidRPr="000E0F41">
        <w:rPr>
          <w:rFonts w:ascii="Gill Sans MT" w:hAnsi="Gill Sans MT" w:cstheme="minorHAnsi"/>
          <w:b/>
        </w:rPr>
        <w:t>Leadership</w:t>
      </w:r>
      <w:r w:rsidRPr="00547BA7">
        <w:rPr>
          <w:rFonts w:ascii="Gill Sans MT" w:hAnsi="Gill Sans MT" w:cstheme="minorHAnsi"/>
        </w:rPr>
        <w:t>:  This was addressed and once again the recommendations of the</w:t>
      </w:r>
      <w:r w:rsidR="00661135">
        <w:rPr>
          <w:rFonts w:ascii="Gill Sans MT" w:hAnsi="Gill Sans MT" w:cstheme="minorHAnsi"/>
        </w:rPr>
        <w:t xml:space="preserve"> 2013 global assurance audit were</w:t>
      </w:r>
      <w:r w:rsidRPr="00547BA7">
        <w:rPr>
          <w:rFonts w:ascii="Gill Sans MT" w:hAnsi="Gill Sans MT" w:cstheme="minorHAnsi"/>
        </w:rPr>
        <w:t xml:space="preserve"> very helpful in providing the areas that needed to be addressed in a step by step improvement of the way the senior management team led the programs through better planning and addressing of key issues in regular fashion. The SMT had weekly meetings with minutes. Monthly staff meetings were respected which also served to inform all staff on key changes, improvements in management and as a means of feedback of staff concerns. The </w:t>
      </w:r>
      <w:r w:rsidRPr="00547BA7">
        <w:rPr>
          <w:rFonts w:ascii="Gill Sans MT" w:hAnsi="Gill Sans MT" w:cstheme="minorHAnsi"/>
        </w:rPr>
        <w:lastRenderedPageBreak/>
        <w:t>program team led by the PDQ director also had regular program staff meetings. All of these changes brought abo</w:t>
      </w:r>
      <w:r w:rsidR="00877FD6">
        <w:rPr>
          <w:rFonts w:ascii="Gill Sans MT" w:hAnsi="Gill Sans MT" w:cstheme="minorHAnsi"/>
        </w:rPr>
        <w:t>ut more clarity in the way</w:t>
      </w:r>
      <w:r w:rsidRPr="00547BA7">
        <w:rPr>
          <w:rFonts w:ascii="Gill Sans MT" w:hAnsi="Gill Sans MT" w:cstheme="minorHAnsi"/>
        </w:rPr>
        <w:t xml:space="preserve"> business was conducted in the Senegal country office and allowed the team to steadily catch up on delays, make improvements through collaborative delivery.</w:t>
      </w:r>
      <w:r w:rsidR="0071475E" w:rsidRPr="0071475E">
        <w:rPr>
          <w:rFonts w:ascii="Gill Sans MT" w:hAnsi="Gill Sans MT" w:cstheme="minorHAnsi"/>
        </w:rPr>
        <w:t xml:space="preserve"> </w:t>
      </w:r>
      <w:r w:rsidR="0071475E">
        <w:rPr>
          <w:rFonts w:ascii="Gill Sans MT" w:hAnsi="Gill Sans MT" w:cstheme="minorHAnsi"/>
        </w:rPr>
        <w:t xml:space="preserve"> </w:t>
      </w:r>
      <w:r w:rsidR="0071475E" w:rsidRPr="00547BA7">
        <w:rPr>
          <w:rFonts w:ascii="Gill Sans MT" w:hAnsi="Gill Sans MT" w:cstheme="minorHAnsi"/>
        </w:rPr>
        <w:t xml:space="preserve">With the arrival of the PDQ director, the team was also able to complete its Country Strategic plan (CSP) which was key to engagement with Save the Children members and donors. The team was also able to fully develop its Country Annual Plan (CAP) on time. </w:t>
      </w:r>
      <w:r w:rsidR="0071475E">
        <w:rPr>
          <w:rFonts w:ascii="Gill Sans MT" w:hAnsi="Gill Sans MT" w:cstheme="minorHAnsi"/>
        </w:rPr>
        <w:t xml:space="preserve"> </w:t>
      </w:r>
    </w:p>
    <w:p w14:paraId="0E7163BF" w14:textId="77777777" w:rsidR="00A325D2" w:rsidRDefault="00A325D2" w:rsidP="00F2542C">
      <w:pPr>
        <w:jc w:val="both"/>
        <w:rPr>
          <w:rFonts w:ascii="Gill Sans MT" w:hAnsi="Gill Sans MT" w:cstheme="minorHAnsi"/>
          <w:b/>
          <w:u w:val="single"/>
        </w:rPr>
      </w:pPr>
    </w:p>
    <w:p w14:paraId="2F0C61B1" w14:textId="77777777" w:rsidR="00F2542C" w:rsidRDefault="00F2542C" w:rsidP="00F2542C">
      <w:pPr>
        <w:jc w:val="both"/>
        <w:rPr>
          <w:rFonts w:ascii="Gill Sans MT" w:hAnsi="Gill Sans MT" w:cstheme="minorHAnsi"/>
          <w:b/>
          <w:u w:val="single"/>
        </w:rPr>
      </w:pPr>
    </w:p>
    <w:p w14:paraId="090C8BD6" w14:textId="77777777" w:rsidR="00463D70" w:rsidRDefault="00463D70" w:rsidP="00F2542C">
      <w:pPr>
        <w:jc w:val="both"/>
        <w:rPr>
          <w:rFonts w:ascii="Gill Sans MT" w:hAnsi="Gill Sans MT" w:cstheme="minorHAnsi"/>
          <w:b/>
          <w:u w:val="single"/>
        </w:rPr>
      </w:pPr>
    </w:p>
    <w:p w14:paraId="415D3DA0" w14:textId="77777777" w:rsidR="00B33BFA" w:rsidRPr="00B67A64" w:rsidRDefault="00E920CB" w:rsidP="00D6573E">
      <w:pPr>
        <w:pStyle w:val="Heading1"/>
        <w:numPr>
          <w:ilvl w:val="0"/>
          <w:numId w:val="13"/>
        </w:numPr>
      </w:pPr>
      <w:bookmarkStart w:id="5" w:name="_Toc384042246"/>
      <w:r>
        <w:t>Financial Results</w:t>
      </w:r>
      <w:bookmarkEnd w:id="5"/>
    </w:p>
    <w:p w14:paraId="3111F566" w14:textId="77777777" w:rsidR="002329B9" w:rsidRPr="006D30D0" w:rsidRDefault="002329B9" w:rsidP="00F2542C">
      <w:pPr>
        <w:jc w:val="both"/>
        <w:rPr>
          <w:rFonts w:ascii="Gill Sans MT" w:hAnsi="Gill Sans MT" w:cstheme="minorHAnsi"/>
          <w:b/>
        </w:rPr>
      </w:pPr>
    </w:p>
    <w:p w14:paraId="19000E78" w14:textId="77777777" w:rsidR="00455C67" w:rsidRPr="00011756" w:rsidRDefault="00455C67" w:rsidP="00F2542C">
      <w:pPr>
        <w:jc w:val="both"/>
        <w:rPr>
          <w:rFonts w:ascii="Gill Sans MT" w:hAnsi="Gill Sans MT" w:cstheme="minorHAnsi"/>
        </w:rPr>
      </w:pPr>
      <w:r>
        <w:rPr>
          <w:rFonts w:ascii="Gill Sans MT" w:hAnsi="Gill Sans MT" w:cstheme="minorHAnsi"/>
        </w:rPr>
        <w:t>Senegal 2013 overall</w:t>
      </w:r>
      <w:r w:rsidR="006820EB">
        <w:rPr>
          <w:rFonts w:ascii="Gill Sans MT" w:hAnsi="Gill Sans MT" w:cstheme="minorHAnsi"/>
        </w:rPr>
        <w:t xml:space="preserve"> spending</w:t>
      </w:r>
      <w:r>
        <w:rPr>
          <w:rFonts w:ascii="Gill Sans MT" w:hAnsi="Gill Sans MT" w:cstheme="minorHAnsi"/>
        </w:rPr>
        <w:t xml:space="preserve"> performance </w:t>
      </w:r>
      <w:r w:rsidR="006820EB">
        <w:rPr>
          <w:rFonts w:ascii="Gill Sans MT" w:hAnsi="Gill Sans MT" w:cstheme="minorHAnsi"/>
        </w:rPr>
        <w:t xml:space="preserve">was </w:t>
      </w:r>
      <w:r w:rsidR="0093484D">
        <w:rPr>
          <w:rFonts w:ascii="Gill Sans MT" w:hAnsi="Gill Sans MT" w:cstheme="minorHAnsi"/>
        </w:rPr>
        <w:t>86</w:t>
      </w:r>
      <w:r>
        <w:rPr>
          <w:rFonts w:ascii="Gill Sans MT" w:hAnsi="Gill Sans MT" w:cstheme="minorHAnsi"/>
        </w:rPr>
        <w:t xml:space="preserve">% </w:t>
      </w:r>
      <w:r w:rsidR="00F93635">
        <w:rPr>
          <w:rFonts w:ascii="Gill Sans MT" w:hAnsi="Gill Sans MT" w:cstheme="minorHAnsi"/>
        </w:rPr>
        <w:t>representing $4.7</w:t>
      </w:r>
      <w:r>
        <w:rPr>
          <w:rFonts w:ascii="Gill Sans MT" w:hAnsi="Gill Sans MT" w:cstheme="minorHAnsi"/>
        </w:rPr>
        <w:t xml:space="preserve"> million compared to the </w:t>
      </w:r>
      <w:r w:rsidR="006820EB">
        <w:rPr>
          <w:rFonts w:ascii="Gill Sans MT" w:hAnsi="Gill Sans MT" w:cstheme="minorHAnsi"/>
        </w:rPr>
        <w:t>2</w:t>
      </w:r>
      <w:r w:rsidR="006820EB" w:rsidRPr="006820EB">
        <w:rPr>
          <w:rFonts w:ascii="Gill Sans MT" w:hAnsi="Gill Sans MT" w:cstheme="minorHAnsi"/>
          <w:vertAlign w:val="superscript"/>
        </w:rPr>
        <w:t>nd</w:t>
      </w:r>
      <w:r w:rsidR="006820EB">
        <w:rPr>
          <w:rFonts w:ascii="Gill Sans MT" w:hAnsi="Gill Sans MT" w:cstheme="minorHAnsi"/>
        </w:rPr>
        <w:t xml:space="preserve"> forecast</w:t>
      </w:r>
      <w:r w:rsidR="00F93635">
        <w:rPr>
          <w:rFonts w:ascii="Gill Sans MT" w:hAnsi="Gill Sans MT" w:cstheme="minorHAnsi"/>
        </w:rPr>
        <w:t xml:space="preserve"> budget of 5.5 </w:t>
      </w:r>
      <w:r>
        <w:rPr>
          <w:rFonts w:ascii="Gill Sans MT" w:hAnsi="Gill Sans MT" w:cstheme="minorHAnsi"/>
        </w:rPr>
        <w:t>million USD.</w:t>
      </w:r>
    </w:p>
    <w:p w14:paraId="3237BEDA" w14:textId="77777777" w:rsidR="00455C67" w:rsidRDefault="00455C67" w:rsidP="00F2542C">
      <w:pPr>
        <w:jc w:val="both"/>
        <w:rPr>
          <w:rFonts w:ascii="Gill Sans MT" w:hAnsi="Gill Sans MT" w:cstheme="minorHAnsi"/>
        </w:rPr>
      </w:pPr>
    </w:p>
    <w:tbl>
      <w:tblPr>
        <w:tblW w:w="9524" w:type="dxa"/>
        <w:tblInd w:w="321" w:type="dxa"/>
        <w:tblLook w:val="04A0" w:firstRow="1" w:lastRow="0" w:firstColumn="1" w:lastColumn="0" w:noHBand="0" w:noVBand="1"/>
      </w:tblPr>
      <w:tblGrid>
        <w:gridCol w:w="1740"/>
        <w:gridCol w:w="1185"/>
        <w:gridCol w:w="1337"/>
        <w:gridCol w:w="1174"/>
        <w:gridCol w:w="1126"/>
        <w:gridCol w:w="2962"/>
      </w:tblGrid>
      <w:tr w:rsidR="00455C67" w:rsidRPr="00011756" w14:paraId="5ACAED6F" w14:textId="77777777" w:rsidTr="00E40885">
        <w:trPr>
          <w:trHeight w:val="300"/>
        </w:trPr>
        <w:tc>
          <w:tcPr>
            <w:tcW w:w="4262" w:type="dxa"/>
            <w:gridSpan w:val="3"/>
            <w:tcBorders>
              <w:top w:val="nil"/>
              <w:left w:val="nil"/>
              <w:bottom w:val="nil"/>
              <w:right w:val="nil"/>
            </w:tcBorders>
            <w:shd w:val="clear" w:color="000000" w:fill="auto"/>
            <w:noWrap/>
            <w:vAlign w:val="bottom"/>
            <w:hideMark/>
          </w:tcPr>
          <w:p w14:paraId="1FA17FF2" w14:textId="77777777" w:rsidR="00455C67" w:rsidRPr="00011756" w:rsidRDefault="00455C67" w:rsidP="0093484D">
            <w:pPr>
              <w:rPr>
                <w:rFonts w:ascii="Arial" w:hAnsi="Arial" w:cs="Arial"/>
                <w:b/>
                <w:bCs/>
                <w:sz w:val="22"/>
                <w:szCs w:val="22"/>
                <w:lang w:eastAsia="en-GB"/>
              </w:rPr>
            </w:pPr>
            <w:r w:rsidRPr="00011756">
              <w:rPr>
                <w:rFonts w:ascii="Arial" w:hAnsi="Arial" w:cs="Arial"/>
                <w:b/>
                <w:bCs/>
                <w:sz w:val="22"/>
                <w:szCs w:val="22"/>
                <w:lang w:eastAsia="en-GB"/>
              </w:rPr>
              <w:t xml:space="preserve">Table I. </w:t>
            </w:r>
            <w:r w:rsidR="0093484D">
              <w:rPr>
                <w:rFonts w:ascii="Arial" w:hAnsi="Arial" w:cs="Arial"/>
                <w:b/>
                <w:bCs/>
                <w:sz w:val="22"/>
                <w:szCs w:val="22"/>
                <w:lang w:eastAsia="en-GB"/>
              </w:rPr>
              <w:t>2</w:t>
            </w:r>
            <w:r w:rsidR="0093484D" w:rsidRPr="0093484D">
              <w:rPr>
                <w:rFonts w:ascii="Arial" w:hAnsi="Arial" w:cs="Arial"/>
                <w:b/>
                <w:bCs/>
                <w:sz w:val="22"/>
                <w:szCs w:val="22"/>
                <w:vertAlign w:val="superscript"/>
                <w:lang w:eastAsia="en-GB"/>
              </w:rPr>
              <w:t>nd</w:t>
            </w:r>
            <w:r w:rsidR="0093484D">
              <w:rPr>
                <w:rFonts w:ascii="Arial" w:hAnsi="Arial" w:cs="Arial"/>
                <w:b/>
                <w:bCs/>
                <w:sz w:val="22"/>
                <w:szCs w:val="22"/>
                <w:lang w:eastAsia="en-GB"/>
              </w:rPr>
              <w:t xml:space="preserve"> Forecast Budget 2013 vs Actuals 2013</w:t>
            </w:r>
          </w:p>
        </w:tc>
        <w:tc>
          <w:tcPr>
            <w:tcW w:w="1174" w:type="dxa"/>
            <w:tcBorders>
              <w:top w:val="nil"/>
              <w:left w:val="nil"/>
              <w:bottom w:val="nil"/>
              <w:right w:val="nil"/>
            </w:tcBorders>
            <w:shd w:val="clear" w:color="000000" w:fill="auto"/>
            <w:noWrap/>
            <w:vAlign w:val="bottom"/>
            <w:hideMark/>
          </w:tcPr>
          <w:p w14:paraId="11B63D16" w14:textId="77777777" w:rsidR="00455C67" w:rsidRPr="00011756" w:rsidRDefault="00455C67" w:rsidP="00D439F7">
            <w:pPr>
              <w:rPr>
                <w:rFonts w:ascii="Arial" w:hAnsi="Arial" w:cs="Arial"/>
                <w:sz w:val="20"/>
                <w:szCs w:val="20"/>
                <w:lang w:eastAsia="en-GB"/>
              </w:rPr>
            </w:pPr>
          </w:p>
        </w:tc>
        <w:tc>
          <w:tcPr>
            <w:tcW w:w="1126" w:type="dxa"/>
            <w:tcBorders>
              <w:top w:val="nil"/>
              <w:left w:val="nil"/>
              <w:bottom w:val="nil"/>
              <w:right w:val="nil"/>
            </w:tcBorders>
            <w:shd w:val="clear" w:color="000000" w:fill="auto"/>
            <w:noWrap/>
            <w:vAlign w:val="bottom"/>
            <w:hideMark/>
          </w:tcPr>
          <w:p w14:paraId="17522420" w14:textId="77777777" w:rsidR="00455C67" w:rsidRPr="00011756" w:rsidRDefault="00455C67" w:rsidP="00D439F7">
            <w:pPr>
              <w:rPr>
                <w:rFonts w:ascii="Arial" w:hAnsi="Arial" w:cs="Arial"/>
                <w:sz w:val="20"/>
                <w:szCs w:val="20"/>
                <w:lang w:eastAsia="en-GB"/>
              </w:rPr>
            </w:pPr>
          </w:p>
        </w:tc>
        <w:tc>
          <w:tcPr>
            <w:tcW w:w="2962" w:type="dxa"/>
            <w:tcBorders>
              <w:top w:val="nil"/>
              <w:left w:val="nil"/>
              <w:bottom w:val="nil"/>
              <w:right w:val="nil"/>
            </w:tcBorders>
            <w:shd w:val="clear" w:color="000000" w:fill="auto"/>
            <w:noWrap/>
            <w:vAlign w:val="bottom"/>
            <w:hideMark/>
          </w:tcPr>
          <w:p w14:paraId="45409CC4" w14:textId="77777777" w:rsidR="00455C67" w:rsidRPr="00011756" w:rsidRDefault="00455C67" w:rsidP="00D439F7">
            <w:pPr>
              <w:rPr>
                <w:rFonts w:ascii="Arial" w:hAnsi="Arial" w:cs="Arial"/>
                <w:sz w:val="20"/>
                <w:szCs w:val="20"/>
                <w:lang w:eastAsia="en-GB"/>
              </w:rPr>
            </w:pPr>
          </w:p>
        </w:tc>
      </w:tr>
      <w:tr w:rsidR="00455C67" w:rsidRPr="00011756" w14:paraId="089F03B3" w14:textId="77777777" w:rsidTr="00E40885">
        <w:trPr>
          <w:trHeight w:val="270"/>
        </w:trPr>
        <w:tc>
          <w:tcPr>
            <w:tcW w:w="1740" w:type="dxa"/>
            <w:tcBorders>
              <w:top w:val="nil"/>
              <w:left w:val="nil"/>
              <w:bottom w:val="nil"/>
              <w:right w:val="nil"/>
            </w:tcBorders>
            <w:shd w:val="clear" w:color="000000" w:fill="auto"/>
            <w:noWrap/>
            <w:vAlign w:val="bottom"/>
          </w:tcPr>
          <w:p w14:paraId="36039A2F" w14:textId="77777777" w:rsidR="00455C67" w:rsidRPr="00011756" w:rsidRDefault="00455C67" w:rsidP="00D439F7">
            <w:pPr>
              <w:rPr>
                <w:rFonts w:ascii="Arial" w:hAnsi="Arial" w:cs="Arial"/>
                <w:sz w:val="20"/>
                <w:szCs w:val="20"/>
                <w:lang w:eastAsia="en-GB"/>
              </w:rPr>
            </w:pPr>
          </w:p>
        </w:tc>
        <w:tc>
          <w:tcPr>
            <w:tcW w:w="1185" w:type="dxa"/>
            <w:tcBorders>
              <w:top w:val="nil"/>
              <w:left w:val="nil"/>
              <w:bottom w:val="nil"/>
              <w:right w:val="nil"/>
            </w:tcBorders>
            <w:shd w:val="clear" w:color="000000" w:fill="auto"/>
            <w:noWrap/>
            <w:vAlign w:val="bottom"/>
          </w:tcPr>
          <w:p w14:paraId="433ED544" w14:textId="77777777" w:rsidR="00455C67" w:rsidRPr="00011756" w:rsidRDefault="00455C67" w:rsidP="00D439F7">
            <w:pPr>
              <w:rPr>
                <w:rFonts w:ascii="Arial" w:hAnsi="Arial" w:cs="Arial"/>
                <w:sz w:val="20"/>
                <w:szCs w:val="20"/>
                <w:lang w:eastAsia="en-GB"/>
              </w:rPr>
            </w:pPr>
          </w:p>
        </w:tc>
        <w:tc>
          <w:tcPr>
            <w:tcW w:w="1337" w:type="dxa"/>
            <w:tcBorders>
              <w:top w:val="nil"/>
              <w:left w:val="nil"/>
              <w:bottom w:val="nil"/>
              <w:right w:val="nil"/>
            </w:tcBorders>
            <w:shd w:val="clear" w:color="000000" w:fill="auto"/>
            <w:noWrap/>
            <w:vAlign w:val="bottom"/>
          </w:tcPr>
          <w:p w14:paraId="5C886386" w14:textId="77777777" w:rsidR="00455C67" w:rsidRPr="00011756" w:rsidRDefault="00455C67" w:rsidP="00D439F7">
            <w:pPr>
              <w:rPr>
                <w:rFonts w:ascii="Arial" w:hAnsi="Arial" w:cs="Arial"/>
                <w:sz w:val="20"/>
                <w:szCs w:val="20"/>
                <w:lang w:eastAsia="en-GB"/>
              </w:rPr>
            </w:pPr>
          </w:p>
        </w:tc>
        <w:tc>
          <w:tcPr>
            <w:tcW w:w="1174" w:type="dxa"/>
            <w:tcBorders>
              <w:top w:val="nil"/>
              <w:left w:val="nil"/>
              <w:bottom w:val="nil"/>
              <w:right w:val="nil"/>
            </w:tcBorders>
            <w:shd w:val="clear" w:color="000000" w:fill="auto"/>
            <w:noWrap/>
            <w:vAlign w:val="bottom"/>
          </w:tcPr>
          <w:p w14:paraId="775EF301" w14:textId="77777777" w:rsidR="00455C67" w:rsidRPr="00011756" w:rsidRDefault="00455C67" w:rsidP="00D439F7">
            <w:pPr>
              <w:rPr>
                <w:rFonts w:ascii="Arial" w:hAnsi="Arial" w:cs="Arial"/>
                <w:sz w:val="20"/>
                <w:szCs w:val="20"/>
                <w:lang w:eastAsia="en-GB"/>
              </w:rPr>
            </w:pPr>
          </w:p>
        </w:tc>
        <w:tc>
          <w:tcPr>
            <w:tcW w:w="1126" w:type="dxa"/>
            <w:tcBorders>
              <w:top w:val="nil"/>
              <w:left w:val="nil"/>
              <w:bottom w:val="nil"/>
              <w:right w:val="nil"/>
            </w:tcBorders>
            <w:shd w:val="clear" w:color="000000" w:fill="auto"/>
            <w:noWrap/>
            <w:vAlign w:val="bottom"/>
          </w:tcPr>
          <w:p w14:paraId="109D59B6" w14:textId="77777777" w:rsidR="00455C67" w:rsidRPr="00011756" w:rsidRDefault="00455C67" w:rsidP="00D439F7">
            <w:pPr>
              <w:rPr>
                <w:rFonts w:ascii="Arial" w:hAnsi="Arial" w:cs="Arial"/>
                <w:sz w:val="20"/>
                <w:szCs w:val="20"/>
                <w:lang w:eastAsia="en-GB"/>
              </w:rPr>
            </w:pPr>
          </w:p>
        </w:tc>
        <w:tc>
          <w:tcPr>
            <w:tcW w:w="2962" w:type="dxa"/>
            <w:tcBorders>
              <w:top w:val="nil"/>
              <w:left w:val="nil"/>
              <w:bottom w:val="nil"/>
              <w:right w:val="nil"/>
            </w:tcBorders>
            <w:shd w:val="clear" w:color="000000" w:fill="auto"/>
            <w:noWrap/>
            <w:vAlign w:val="bottom"/>
          </w:tcPr>
          <w:p w14:paraId="7F87679E" w14:textId="77777777" w:rsidR="00455C67" w:rsidRPr="00011756" w:rsidRDefault="00455C67" w:rsidP="00D439F7">
            <w:pPr>
              <w:rPr>
                <w:rFonts w:ascii="Arial" w:hAnsi="Arial" w:cs="Arial"/>
                <w:sz w:val="20"/>
                <w:szCs w:val="20"/>
                <w:lang w:eastAsia="en-GB"/>
              </w:rPr>
            </w:pPr>
          </w:p>
        </w:tc>
      </w:tr>
      <w:tr w:rsidR="00455C67" w:rsidRPr="00455C67" w14:paraId="507F427E" w14:textId="77777777" w:rsidTr="00E40885">
        <w:trPr>
          <w:trHeight w:val="960"/>
        </w:trPr>
        <w:tc>
          <w:tcPr>
            <w:tcW w:w="1740" w:type="dxa"/>
            <w:tcBorders>
              <w:top w:val="single" w:sz="8" w:space="0" w:color="auto"/>
              <w:left w:val="single" w:sz="8" w:space="0" w:color="auto"/>
              <w:bottom w:val="single" w:sz="8" w:space="0" w:color="auto"/>
              <w:right w:val="single" w:sz="8" w:space="0" w:color="auto"/>
            </w:tcBorders>
            <w:shd w:val="clear" w:color="000000" w:fill="auto"/>
            <w:vAlign w:val="center"/>
            <w:hideMark/>
          </w:tcPr>
          <w:p w14:paraId="575DA1B3" w14:textId="77777777" w:rsidR="00455C67" w:rsidRPr="00455C67" w:rsidRDefault="00455C67" w:rsidP="00D439F7">
            <w:pPr>
              <w:jc w:val="both"/>
              <w:rPr>
                <w:rFonts w:ascii="Gill Sans MT" w:hAnsi="Gill Sans MT" w:cs="Arial"/>
                <w:b/>
                <w:bCs/>
                <w:sz w:val="22"/>
                <w:szCs w:val="22"/>
                <w:lang w:eastAsia="en-GB"/>
              </w:rPr>
            </w:pPr>
            <w:r w:rsidRPr="00455C67">
              <w:rPr>
                <w:rFonts w:ascii="Gill Sans MT" w:hAnsi="Gill Sans MT" w:cs="Arial"/>
                <w:b/>
                <w:bCs/>
                <w:sz w:val="22"/>
                <w:szCs w:val="22"/>
                <w:lang w:eastAsia="en-GB"/>
              </w:rPr>
              <w:t xml:space="preserve">Theme </w:t>
            </w:r>
          </w:p>
        </w:tc>
        <w:tc>
          <w:tcPr>
            <w:tcW w:w="1185" w:type="dxa"/>
            <w:tcBorders>
              <w:top w:val="single" w:sz="8" w:space="0" w:color="auto"/>
              <w:left w:val="nil"/>
              <w:bottom w:val="single" w:sz="8" w:space="0" w:color="auto"/>
              <w:right w:val="single" w:sz="8" w:space="0" w:color="auto"/>
            </w:tcBorders>
            <w:shd w:val="clear" w:color="000000" w:fill="auto"/>
            <w:vAlign w:val="center"/>
          </w:tcPr>
          <w:p w14:paraId="3E11284B" w14:textId="77777777" w:rsidR="00455C67" w:rsidRPr="00455C67" w:rsidRDefault="00AF15EA" w:rsidP="00D439F7">
            <w:pPr>
              <w:jc w:val="center"/>
              <w:rPr>
                <w:rFonts w:ascii="Gill Sans MT" w:hAnsi="Gill Sans MT" w:cs="Arial"/>
                <w:b/>
                <w:bCs/>
                <w:sz w:val="22"/>
                <w:szCs w:val="22"/>
                <w:lang w:eastAsia="en-GB"/>
              </w:rPr>
            </w:pPr>
            <w:r>
              <w:rPr>
                <w:rFonts w:ascii="Gill Sans MT" w:hAnsi="Gill Sans MT" w:cs="Arial"/>
                <w:b/>
                <w:bCs/>
                <w:sz w:val="22"/>
                <w:szCs w:val="22"/>
                <w:lang w:eastAsia="en-GB"/>
              </w:rPr>
              <w:t>2</w:t>
            </w:r>
            <w:r w:rsidRPr="00AF15EA">
              <w:rPr>
                <w:rFonts w:ascii="Gill Sans MT" w:hAnsi="Gill Sans MT" w:cs="Arial"/>
                <w:b/>
                <w:bCs/>
                <w:sz w:val="22"/>
                <w:szCs w:val="22"/>
                <w:vertAlign w:val="superscript"/>
                <w:lang w:eastAsia="en-GB"/>
              </w:rPr>
              <w:t>nd</w:t>
            </w:r>
            <w:r>
              <w:rPr>
                <w:rFonts w:ascii="Gill Sans MT" w:hAnsi="Gill Sans MT" w:cs="Arial"/>
                <w:b/>
                <w:bCs/>
                <w:sz w:val="22"/>
                <w:szCs w:val="22"/>
                <w:lang w:eastAsia="en-GB"/>
              </w:rPr>
              <w:t xml:space="preserve"> Forecast Budget 2013</w:t>
            </w:r>
          </w:p>
        </w:tc>
        <w:tc>
          <w:tcPr>
            <w:tcW w:w="1337" w:type="dxa"/>
            <w:tcBorders>
              <w:top w:val="single" w:sz="8" w:space="0" w:color="auto"/>
              <w:left w:val="nil"/>
              <w:bottom w:val="single" w:sz="8" w:space="0" w:color="auto"/>
              <w:right w:val="single" w:sz="8" w:space="0" w:color="auto"/>
            </w:tcBorders>
            <w:shd w:val="clear" w:color="000000" w:fill="auto"/>
            <w:vAlign w:val="center"/>
          </w:tcPr>
          <w:p w14:paraId="33439E0A" w14:textId="77777777" w:rsidR="00455C67" w:rsidRPr="00455C67" w:rsidRDefault="00AF15EA" w:rsidP="00D439F7">
            <w:pPr>
              <w:jc w:val="center"/>
              <w:rPr>
                <w:rFonts w:ascii="Gill Sans MT" w:hAnsi="Gill Sans MT" w:cs="Arial"/>
                <w:b/>
                <w:bCs/>
                <w:sz w:val="22"/>
                <w:szCs w:val="22"/>
                <w:lang w:eastAsia="en-GB"/>
              </w:rPr>
            </w:pPr>
            <w:r>
              <w:rPr>
                <w:rFonts w:ascii="Gill Sans MT" w:hAnsi="Gill Sans MT" w:cs="Arial"/>
                <w:b/>
                <w:bCs/>
                <w:sz w:val="22"/>
                <w:szCs w:val="22"/>
                <w:lang w:eastAsia="en-GB"/>
              </w:rPr>
              <w:t>Actuals 2013</w:t>
            </w:r>
          </w:p>
        </w:tc>
        <w:tc>
          <w:tcPr>
            <w:tcW w:w="1174" w:type="dxa"/>
            <w:tcBorders>
              <w:top w:val="single" w:sz="8" w:space="0" w:color="auto"/>
              <w:left w:val="nil"/>
              <w:bottom w:val="single" w:sz="8" w:space="0" w:color="auto"/>
              <w:right w:val="single" w:sz="8" w:space="0" w:color="auto"/>
            </w:tcBorders>
            <w:shd w:val="clear" w:color="000000" w:fill="auto"/>
            <w:vAlign w:val="center"/>
          </w:tcPr>
          <w:p w14:paraId="4412A27A" w14:textId="77777777" w:rsidR="00455C67" w:rsidRPr="00455C67" w:rsidRDefault="00AF15EA" w:rsidP="00D439F7">
            <w:pPr>
              <w:jc w:val="center"/>
              <w:rPr>
                <w:rFonts w:ascii="Gill Sans MT" w:hAnsi="Gill Sans MT" w:cs="Arial"/>
                <w:b/>
                <w:bCs/>
                <w:sz w:val="22"/>
                <w:szCs w:val="22"/>
                <w:lang w:eastAsia="en-GB"/>
              </w:rPr>
            </w:pPr>
            <w:r>
              <w:rPr>
                <w:rFonts w:ascii="Gill Sans MT" w:hAnsi="Gill Sans MT" w:cs="Arial"/>
                <w:b/>
                <w:bCs/>
                <w:sz w:val="22"/>
                <w:szCs w:val="22"/>
                <w:lang w:eastAsia="en-GB"/>
              </w:rPr>
              <w:t>Unspent balance 2013</w:t>
            </w:r>
          </w:p>
        </w:tc>
        <w:tc>
          <w:tcPr>
            <w:tcW w:w="1126" w:type="dxa"/>
            <w:tcBorders>
              <w:top w:val="single" w:sz="8" w:space="0" w:color="auto"/>
              <w:left w:val="nil"/>
              <w:bottom w:val="single" w:sz="8" w:space="0" w:color="auto"/>
              <w:right w:val="single" w:sz="8" w:space="0" w:color="auto"/>
            </w:tcBorders>
            <w:shd w:val="clear" w:color="000000" w:fill="auto"/>
            <w:vAlign w:val="center"/>
            <w:hideMark/>
          </w:tcPr>
          <w:p w14:paraId="19EFE8AE" w14:textId="77777777" w:rsidR="00B2708A" w:rsidRPr="00455C67" w:rsidRDefault="0093484D" w:rsidP="00836A9B">
            <w:pPr>
              <w:jc w:val="center"/>
              <w:rPr>
                <w:rFonts w:ascii="Gill Sans MT" w:hAnsi="Gill Sans MT" w:cs="Arial"/>
                <w:b/>
                <w:bCs/>
                <w:sz w:val="22"/>
                <w:szCs w:val="22"/>
                <w:lang w:eastAsia="en-GB"/>
              </w:rPr>
            </w:pPr>
            <w:r>
              <w:rPr>
                <w:rFonts w:ascii="Gill Sans MT" w:hAnsi="Gill Sans MT" w:cs="Arial"/>
                <w:b/>
                <w:bCs/>
                <w:sz w:val="22"/>
                <w:szCs w:val="22"/>
                <w:lang w:eastAsia="en-GB"/>
              </w:rPr>
              <w:t>(</w:t>
            </w:r>
            <w:r w:rsidR="00455C67" w:rsidRPr="00455C67">
              <w:rPr>
                <w:rFonts w:ascii="Gill Sans MT" w:hAnsi="Gill Sans MT" w:cs="Arial"/>
                <w:b/>
                <w:bCs/>
                <w:sz w:val="22"/>
                <w:szCs w:val="22"/>
                <w:lang w:eastAsia="en-GB"/>
              </w:rPr>
              <w:t>%</w:t>
            </w:r>
            <w:r>
              <w:rPr>
                <w:rFonts w:ascii="Gill Sans MT" w:hAnsi="Gill Sans MT" w:cs="Arial"/>
                <w:b/>
                <w:bCs/>
                <w:sz w:val="22"/>
                <w:szCs w:val="22"/>
                <w:lang w:eastAsia="en-GB"/>
              </w:rPr>
              <w:t xml:space="preserve"> spend</w:t>
            </w:r>
            <w:r w:rsidR="00455C67" w:rsidRPr="00455C67">
              <w:rPr>
                <w:rFonts w:ascii="Gill Sans MT" w:hAnsi="Gill Sans MT" w:cs="Arial"/>
                <w:b/>
                <w:bCs/>
                <w:sz w:val="22"/>
                <w:szCs w:val="22"/>
                <w:lang w:eastAsia="en-GB"/>
              </w:rPr>
              <w:t>)</w:t>
            </w:r>
            <w:r w:rsidR="00B2708A">
              <w:rPr>
                <w:rFonts w:ascii="Gill Sans MT" w:hAnsi="Gill Sans MT" w:cs="Arial"/>
                <w:b/>
                <w:bCs/>
                <w:sz w:val="22"/>
                <w:szCs w:val="22"/>
                <w:lang w:eastAsia="en-GB"/>
              </w:rPr>
              <w:t xml:space="preserve"> </w:t>
            </w:r>
          </w:p>
        </w:tc>
        <w:tc>
          <w:tcPr>
            <w:tcW w:w="2962" w:type="dxa"/>
            <w:tcBorders>
              <w:top w:val="single" w:sz="8" w:space="0" w:color="auto"/>
              <w:left w:val="nil"/>
              <w:bottom w:val="single" w:sz="8" w:space="0" w:color="auto"/>
              <w:right w:val="single" w:sz="8" w:space="0" w:color="auto"/>
            </w:tcBorders>
            <w:shd w:val="clear" w:color="000000" w:fill="auto"/>
            <w:vAlign w:val="center"/>
            <w:hideMark/>
          </w:tcPr>
          <w:p w14:paraId="23BE2431" w14:textId="77777777" w:rsidR="00455C67" w:rsidRPr="00455C67" w:rsidRDefault="00455C67" w:rsidP="00D439F7">
            <w:pPr>
              <w:jc w:val="both"/>
              <w:rPr>
                <w:rFonts w:ascii="Gill Sans MT" w:hAnsi="Gill Sans MT" w:cs="Arial"/>
                <w:b/>
                <w:bCs/>
                <w:sz w:val="22"/>
                <w:szCs w:val="22"/>
                <w:lang w:eastAsia="en-GB"/>
              </w:rPr>
            </w:pPr>
            <w:r w:rsidRPr="00455C67">
              <w:rPr>
                <w:rFonts w:ascii="Gill Sans MT" w:hAnsi="Gill Sans MT" w:cs="Arial"/>
                <w:b/>
                <w:bCs/>
                <w:sz w:val="22"/>
                <w:szCs w:val="22"/>
                <w:lang w:eastAsia="en-GB"/>
              </w:rPr>
              <w:t>Comments</w:t>
            </w:r>
          </w:p>
        </w:tc>
      </w:tr>
      <w:tr w:rsidR="00455C67" w:rsidRPr="00455C67" w14:paraId="004C212B" w14:textId="77777777" w:rsidTr="00E40885">
        <w:trPr>
          <w:trHeight w:val="330"/>
        </w:trPr>
        <w:tc>
          <w:tcPr>
            <w:tcW w:w="1740" w:type="dxa"/>
            <w:tcBorders>
              <w:top w:val="nil"/>
              <w:left w:val="single" w:sz="8" w:space="0" w:color="auto"/>
              <w:bottom w:val="single" w:sz="8" w:space="0" w:color="auto"/>
              <w:right w:val="single" w:sz="8" w:space="0" w:color="auto"/>
            </w:tcBorders>
            <w:shd w:val="clear" w:color="000000" w:fill="auto"/>
            <w:vAlign w:val="center"/>
            <w:hideMark/>
          </w:tcPr>
          <w:p w14:paraId="3D26BBAF" w14:textId="77777777" w:rsidR="00455C67" w:rsidRPr="00455C67" w:rsidRDefault="00455C67" w:rsidP="00D439F7">
            <w:pPr>
              <w:rPr>
                <w:rFonts w:ascii="Gill Sans MT" w:hAnsi="Gill Sans MT" w:cs="Arial"/>
                <w:sz w:val="22"/>
                <w:szCs w:val="22"/>
                <w:lang w:eastAsia="en-GB"/>
              </w:rPr>
            </w:pPr>
            <w:r w:rsidRPr="00455C67">
              <w:rPr>
                <w:rFonts w:ascii="Gill Sans MT" w:hAnsi="Gill Sans MT" w:cs="Arial"/>
                <w:sz w:val="22"/>
                <w:szCs w:val="22"/>
                <w:lang w:eastAsia="en-GB"/>
              </w:rPr>
              <w:t>Child Protection</w:t>
            </w:r>
          </w:p>
        </w:tc>
        <w:tc>
          <w:tcPr>
            <w:tcW w:w="1185" w:type="dxa"/>
            <w:tcBorders>
              <w:top w:val="nil"/>
              <w:left w:val="nil"/>
              <w:bottom w:val="single" w:sz="8" w:space="0" w:color="auto"/>
              <w:right w:val="single" w:sz="8" w:space="0" w:color="auto"/>
            </w:tcBorders>
            <w:shd w:val="clear" w:color="000000" w:fill="auto"/>
            <w:vAlign w:val="center"/>
          </w:tcPr>
          <w:p w14:paraId="11FAEF3C" w14:textId="77777777" w:rsidR="00455C67" w:rsidRPr="00455C67" w:rsidRDefault="00AF15EA" w:rsidP="00D439F7">
            <w:pPr>
              <w:jc w:val="right"/>
              <w:rPr>
                <w:rFonts w:ascii="Gill Sans MT" w:hAnsi="Gill Sans MT" w:cs="Arial"/>
                <w:sz w:val="22"/>
                <w:szCs w:val="22"/>
                <w:lang w:eastAsia="en-GB"/>
              </w:rPr>
            </w:pPr>
            <w:r>
              <w:rPr>
                <w:rFonts w:ascii="Gill Sans MT" w:hAnsi="Gill Sans MT" w:cs="Arial"/>
                <w:sz w:val="22"/>
                <w:szCs w:val="22"/>
                <w:lang w:eastAsia="en-GB"/>
              </w:rPr>
              <w:t>3,294,381</w:t>
            </w:r>
          </w:p>
        </w:tc>
        <w:tc>
          <w:tcPr>
            <w:tcW w:w="1337" w:type="dxa"/>
            <w:tcBorders>
              <w:top w:val="nil"/>
              <w:left w:val="nil"/>
              <w:bottom w:val="single" w:sz="8" w:space="0" w:color="auto"/>
              <w:right w:val="single" w:sz="8" w:space="0" w:color="auto"/>
            </w:tcBorders>
            <w:shd w:val="clear" w:color="000000" w:fill="auto"/>
            <w:vAlign w:val="center"/>
          </w:tcPr>
          <w:p w14:paraId="62B88F49" w14:textId="77777777" w:rsidR="00455C67" w:rsidRPr="00AF15EA" w:rsidRDefault="00AF15EA" w:rsidP="00D439F7">
            <w:pPr>
              <w:jc w:val="right"/>
              <w:rPr>
                <w:rFonts w:ascii="Gill Sans MT" w:hAnsi="Gill Sans MT" w:cs="Arial"/>
                <w:iCs/>
                <w:sz w:val="22"/>
                <w:szCs w:val="22"/>
                <w:lang w:eastAsia="en-GB"/>
              </w:rPr>
            </w:pPr>
            <w:r>
              <w:rPr>
                <w:rFonts w:ascii="Gill Sans MT" w:hAnsi="Gill Sans MT" w:cs="Arial"/>
                <w:iCs/>
                <w:sz w:val="22"/>
                <w:szCs w:val="22"/>
                <w:lang w:eastAsia="en-GB"/>
              </w:rPr>
              <w:t>2,499,681</w:t>
            </w:r>
          </w:p>
        </w:tc>
        <w:tc>
          <w:tcPr>
            <w:tcW w:w="1174" w:type="dxa"/>
            <w:tcBorders>
              <w:top w:val="nil"/>
              <w:left w:val="nil"/>
              <w:bottom w:val="single" w:sz="8" w:space="0" w:color="auto"/>
              <w:right w:val="single" w:sz="8" w:space="0" w:color="auto"/>
            </w:tcBorders>
            <w:shd w:val="clear" w:color="000000" w:fill="auto"/>
            <w:vAlign w:val="center"/>
          </w:tcPr>
          <w:p w14:paraId="5D5DD017" w14:textId="77777777" w:rsidR="00455C67" w:rsidRPr="00AF15EA" w:rsidRDefault="00AF15EA" w:rsidP="00D439F7">
            <w:pPr>
              <w:jc w:val="right"/>
              <w:rPr>
                <w:rFonts w:ascii="Gill Sans MT" w:hAnsi="Gill Sans MT" w:cs="Arial"/>
                <w:iCs/>
                <w:sz w:val="22"/>
                <w:szCs w:val="22"/>
                <w:lang w:eastAsia="en-GB"/>
              </w:rPr>
            </w:pPr>
            <w:r>
              <w:rPr>
                <w:rFonts w:ascii="Gill Sans MT" w:hAnsi="Gill Sans MT" w:cs="Arial"/>
                <w:iCs/>
                <w:sz w:val="22"/>
                <w:szCs w:val="22"/>
                <w:lang w:eastAsia="en-GB"/>
              </w:rPr>
              <w:t>(794,701)</w:t>
            </w:r>
          </w:p>
        </w:tc>
        <w:tc>
          <w:tcPr>
            <w:tcW w:w="1126" w:type="dxa"/>
            <w:tcBorders>
              <w:top w:val="nil"/>
              <w:left w:val="nil"/>
              <w:bottom w:val="single" w:sz="8" w:space="0" w:color="auto"/>
              <w:right w:val="single" w:sz="8" w:space="0" w:color="auto"/>
            </w:tcBorders>
            <w:shd w:val="clear" w:color="000000" w:fill="auto"/>
            <w:vAlign w:val="center"/>
          </w:tcPr>
          <w:p w14:paraId="7304E3C2" w14:textId="77777777" w:rsidR="00455C67" w:rsidRPr="0093484D" w:rsidRDefault="0093484D" w:rsidP="00D439F7">
            <w:pPr>
              <w:jc w:val="right"/>
              <w:rPr>
                <w:rFonts w:ascii="Gill Sans MT" w:hAnsi="Gill Sans MT" w:cs="Arial"/>
                <w:iCs/>
                <w:sz w:val="22"/>
                <w:szCs w:val="22"/>
                <w:lang w:eastAsia="en-GB"/>
              </w:rPr>
            </w:pPr>
            <w:r>
              <w:rPr>
                <w:rFonts w:ascii="Gill Sans MT" w:hAnsi="Gill Sans MT" w:cs="Arial"/>
                <w:iCs/>
                <w:sz w:val="22"/>
                <w:szCs w:val="22"/>
                <w:lang w:eastAsia="en-GB"/>
              </w:rPr>
              <w:t>76%</w:t>
            </w:r>
          </w:p>
        </w:tc>
        <w:tc>
          <w:tcPr>
            <w:tcW w:w="2962" w:type="dxa"/>
            <w:tcBorders>
              <w:top w:val="nil"/>
              <w:left w:val="nil"/>
              <w:bottom w:val="single" w:sz="8" w:space="0" w:color="auto"/>
              <w:right w:val="single" w:sz="8" w:space="0" w:color="auto"/>
            </w:tcBorders>
            <w:shd w:val="clear" w:color="000000" w:fill="auto"/>
            <w:vAlign w:val="center"/>
            <w:hideMark/>
          </w:tcPr>
          <w:p w14:paraId="1DA28EC7" w14:textId="77777777" w:rsidR="00455C67" w:rsidRPr="007129D2" w:rsidRDefault="007129D2" w:rsidP="00D439F7">
            <w:pPr>
              <w:jc w:val="both"/>
              <w:rPr>
                <w:rFonts w:ascii="Gill Sans MT" w:hAnsi="Gill Sans MT" w:cs="Arial"/>
                <w:iCs/>
                <w:sz w:val="20"/>
                <w:szCs w:val="20"/>
                <w:lang w:eastAsia="en-GB"/>
              </w:rPr>
            </w:pPr>
            <w:r>
              <w:rPr>
                <w:rFonts w:ascii="Gill Sans MT" w:hAnsi="Gill Sans MT" w:cs="Arial"/>
                <w:iCs/>
                <w:sz w:val="20"/>
                <w:szCs w:val="20"/>
                <w:lang w:eastAsia="en-GB"/>
              </w:rPr>
              <w:t>Activities not finalised in December 2013 and member agreed 3 months no-cost extension to end of March 2014.</w:t>
            </w:r>
            <w:r w:rsidR="00455C67" w:rsidRPr="00455C67">
              <w:rPr>
                <w:rFonts w:ascii="Gill Sans MT" w:hAnsi="Gill Sans MT" w:cs="Arial"/>
                <w:i/>
                <w:iCs/>
                <w:sz w:val="20"/>
                <w:szCs w:val="20"/>
                <w:lang w:eastAsia="en-GB"/>
              </w:rPr>
              <w:t> </w:t>
            </w:r>
          </w:p>
        </w:tc>
      </w:tr>
      <w:tr w:rsidR="00455C67" w:rsidRPr="00455C67" w14:paraId="297DA396" w14:textId="77777777" w:rsidTr="00E40885">
        <w:trPr>
          <w:trHeight w:val="330"/>
        </w:trPr>
        <w:tc>
          <w:tcPr>
            <w:tcW w:w="1740" w:type="dxa"/>
            <w:tcBorders>
              <w:top w:val="nil"/>
              <w:left w:val="single" w:sz="8" w:space="0" w:color="auto"/>
              <w:bottom w:val="single" w:sz="8" w:space="0" w:color="auto"/>
              <w:right w:val="single" w:sz="8" w:space="0" w:color="auto"/>
            </w:tcBorders>
            <w:shd w:val="clear" w:color="000000" w:fill="auto"/>
            <w:vAlign w:val="center"/>
            <w:hideMark/>
          </w:tcPr>
          <w:p w14:paraId="03A11CEE" w14:textId="77777777" w:rsidR="00455C67" w:rsidRPr="00455C67" w:rsidRDefault="00455C67" w:rsidP="00D439F7">
            <w:pPr>
              <w:rPr>
                <w:rFonts w:ascii="Gill Sans MT" w:hAnsi="Gill Sans MT" w:cs="Arial"/>
                <w:sz w:val="22"/>
                <w:szCs w:val="22"/>
                <w:lang w:eastAsia="en-GB"/>
              </w:rPr>
            </w:pPr>
            <w:r w:rsidRPr="00455C67">
              <w:rPr>
                <w:rFonts w:ascii="Gill Sans MT" w:hAnsi="Gill Sans MT" w:cs="Arial"/>
                <w:sz w:val="22"/>
                <w:szCs w:val="22"/>
                <w:lang w:eastAsia="en-GB"/>
              </w:rPr>
              <w:t>Child Rights Governance</w:t>
            </w:r>
          </w:p>
        </w:tc>
        <w:tc>
          <w:tcPr>
            <w:tcW w:w="1185" w:type="dxa"/>
            <w:tcBorders>
              <w:top w:val="nil"/>
              <w:left w:val="nil"/>
              <w:bottom w:val="single" w:sz="8" w:space="0" w:color="auto"/>
              <w:right w:val="single" w:sz="8" w:space="0" w:color="auto"/>
            </w:tcBorders>
            <w:shd w:val="clear" w:color="000000" w:fill="auto"/>
            <w:vAlign w:val="center"/>
          </w:tcPr>
          <w:p w14:paraId="56DF93AE" w14:textId="77777777" w:rsidR="00455C67" w:rsidRPr="00AF15EA" w:rsidRDefault="00AF15EA" w:rsidP="00D439F7">
            <w:pPr>
              <w:jc w:val="right"/>
              <w:rPr>
                <w:rFonts w:ascii="Gill Sans MT" w:hAnsi="Gill Sans MT" w:cs="Arial"/>
                <w:iCs/>
                <w:sz w:val="22"/>
                <w:szCs w:val="22"/>
                <w:lang w:eastAsia="en-GB"/>
              </w:rPr>
            </w:pPr>
            <w:r>
              <w:rPr>
                <w:rFonts w:ascii="Gill Sans MT" w:hAnsi="Gill Sans MT" w:cs="Arial"/>
                <w:iCs/>
                <w:sz w:val="22"/>
                <w:szCs w:val="22"/>
                <w:lang w:eastAsia="en-GB"/>
              </w:rPr>
              <w:t>718,311</w:t>
            </w:r>
          </w:p>
        </w:tc>
        <w:tc>
          <w:tcPr>
            <w:tcW w:w="1337" w:type="dxa"/>
            <w:tcBorders>
              <w:top w:val="nil"/>
              <w:left w:val="nil"/>
              <w:bottom w:val="single" w:sz="8" w:space="0" w:color="auto"/>
              <w:right w:val="single" w:sz="8" w:space="0" w:color="auto"/>
            </w:tcBorders>
            <w:shd w:val="clear" w:color="000000" w:fill="auto"/>
            <w:vAlign w:val="center"/>
          </w:tcPr>
          <w:p w14:paraId="5A314B6B" w14:textId="77777777" w:rsidR="00455C67" w:rsidRPr="00AF15EA" w:rsidRDefault="00AF15EA" w:rsidP="00D439F7">
            <w:pPr>
              <w:jc w:val="right"/>
              <w:rPr>
                <w:rFonts w:ascii="Gill Sans MT" w:hAnsi="Gill Sans MT" w:cs="Arial"/>
                <w:iCs/>
                <w:sz w:val="22"/>
                <w:szCs w:val="22"/>
                <w:lang w:eastAsia="en-GB"/>
              </w:rPr>
            </w:pPr>
            <w:r>
              <w:rPr>
                <w:rFonts w:ascii="Gill Sans MT" w:hAnsi="Gill Sans MT" w:cs="Arial"/>
                <w:iCs/>
                <w:sz w:val="22"/>
                <w:szCs w:val="22"/>
                <w:lang w:eastAsia="en-GB"/>
              </w:rPr>
              <w:t>733,973</w:t>
            </w:r>
          </w:p>
        </w:tc>
        <w:tc>
          <w:tcPr>
            <w:tcW w:w="1174" w:type="dxa"/>
            <w:tcBorders>
              <w:top w:val="nil"/>
              <w:left w:val="nil"/>
              <w:bottom w:val="single" w:sz="8" w:space="0" w:color="auto"/>
              <w:right w:val="single" w:sz="8" w:space="0" w:color="auto"/>
            </w:tcBorders>
            <w:shd w:val="clear" w:color="000000" w:fill="auto"/>
            <w:vAlign w:val="center"/>
          </w:tcPr>
          <w:p w14:paraId="30272D53" w14:textId="77777777" w:rsidR="00455C67" w:rsidRPr="00AF15EA" w:rsidRDefault="00AF15EA" w:rsidP="00D439F7">
            <w:pPr>
              <w:jc w:val="right"/>
              <w:rPr>
                <w:rFonts w:ascii="Gill Sans MT" w:hAnsi="Gill Sans MT" w:cs="Arial"/>
                <w:iCs/>
                <w:sz w:val="22"/>
                <w:szCs w:val="22"/>
                <w:lang w:eastAsia="en-GB"/>
              </w:rPr>
            </w:pPr>
            <w:r>
              <w:rPr>
                <w:rFonts w:ascii="Gill Sans MT" w:hAnsi="Gill Sans MT" w:cs="Arial"/>
                <w:iCs/>
                <w:sz w:val="22"/>
                <w:szCs w:val="22"/>
                <w:lang w:eastAsia="en-GB"/>
              </w:rPr>
              <w:t>15,662</w:t>
            </w:r>
          </w:p>
        </w:tc>
        <w:tc>
          <w:tcPr>
            <w:tcW w:w="1126" w:type="dxa"/>
            <w:tcBorders>
              <w:top w:val="nil"/>
              <w:left w:val="nil"/>
              <w:bottom w:val="single" w:sz="8" w:space="0" w:color="auto"/>
              <w:right w:val="single" w:sz="8" w:space="0" w:color="auto"/>
            </w:tcBorders>
            <w:shd w:val="clear" w:color="000000" w:fill="auto"/>
            <w:vAlign w:val="center"/>
          </w:tcPr>
          <w:p w14:paraId="6A02A0BE" w14:textId="77777777" w:rsidR="00455C67" w:rsidRPr="0093484D" w:rsidRDefault="0093484D" w:rsidP="00D439F7">
            <w:pPr>
              <w:jc w:val="right"/>
              <w:rPr>
                <w:rFonts w:ascii="Gill Sans MT" w:hAnsi="Gill Sans MT" w:cs="Arial"/>
                <w:iCs/>
                <w:sz w:val="22"/>
                <w:szCs w:val="22"/>
                <w:lang w:eastAsia="en-GB"/>
              </w:rPr>
            </w:pPr>
            <w:r>
              <w:rPr>
                <w:rFonts w:ascii="Gill Sans MT" w:hAnsi="Gill Sans MT" w:cs="Arial"/>
                <w:iCs/>
                <w:sz w:val="22"/>
                <w:szCs w:val="22"/>
                <w:lang w:eastAsia="en-GB"/>
              </w:rPr>
              <w:t>102%</w:t>
            </w:r>
          </w:p>
        </w:tc>
        <w:tc>
          <w:tcPr>
            <w:tcW w:w="2962" w:type="dxa"/>
            <w:tcBorders>
              <w:top w:val="nil"/>
              <w:left w:val="nil"/>
              <w:bottom w:val="single" w:sz="8" w:space="0" w:color="auto"/>
              <w:right w:val="single" w:sz="8" w:space="0" w:color="auto"/>
            </w:tcBorders>
            <w:shd w:val="clear" w:color="000000" w:fill="auto"/>
            <w:vAlign w:val="center"/>
            <w:hideMark/>
          </w:tcPr>
          <w:p w14:paraId="01DD7FD4" w14:textId="77777777" w:rsidR="00455C67" w:rsidRPr="007129D2" w:rsidRDefault="00455C67" w:rsidP="00D439F7">
            <w:pPr>
              <w:jc w:val="both"/>
              <w:rPr>
                <w:rFonts w:ascii="Gill Sans MT" w:hAnsi="Gill Sans MT" w:cs="Arial"/>
                <w:iCs/>
                <w:sz w:val="20"/>
                <w:szCs w:val="20"/>
                <w:lang w:eastAsia="en-GB"/>
              </w:rPr>
            </w:pPr>
            <w:r w:rsidRPr="00455C67">
              <w:rPr>
                <w:rFonts w:ascii="Gill Sans MT" w:hAnsi="Gill Sans MT" w:cs="Arial"/>
                <w:i/>
                <w:iCs/>
                <w:sz w:val="20"/>
                <w:szCs w:val="20"/>
                <w:lang w:eastAsia="en-GB"/>
              </w:rPr>
              <w:t> </w:t>
            </w:r>
            <w:r w:rsidR="007129D2">
              <w:rPr>
                <w:rFonts w:ascii="Gill Sans MT" w:hAnsi="Gill Sans MT" w:cs="Arial"/>
                <w:iCs/>
                <w:sz w:val="20"/>
                <w:szCs w:val="20"/>
                <w:lang w:eastAsia="en-GB"/>
              </w:rPr>
              <w:t>ok</w:t>
            </w:r>
          </w:p>
        </w:tc>
      </w:tr>
      <w:tr w:rsidR="00836A9B" w:rsidRPr="00455C67" w14:paraId="6E7900B6" w14:textId="77777777" w:rsidTr="00E40885">
        <w:trPr>
          <w:trHeight w:val="1275"/>
        </w:trPr>
        <w:tc>
          <w:tcPr>
            <w:tcW w:w="1740" w:type="dxa"/>
            <w:tcBorders>
              <w:top w:val="nil"/>
              <w:left w:val="single" w:sz="8" w:space="0" w:color="auto"/>
              <w:bottom w:val="single" w:sz="8" w:space="0" w:color="auto"/>
              <w:right w:val="single" w:sz="8" w:space="0" w:color="auto"/>
            </w:tcBorders>
            <w:shd w:val="clear" w:color="000000" w:fill="auto"/>
            <w:vAlign w:val="center"/>
            <w:hideMark/>
          </w:tcPr>
          <w:p w14:paraId="53F9747B" w14:textId="77777777" w:rsidR="00836A9B" w:rsidRPr="00455C67" w:rsidRDefault="00836A9B" w:rsidP="00836A9B">
            <w:pPr>
              <w:rPr>
                <w:rFonts w:ascii="Gill Sans MT" w:hAnsi="Gill Sans MT" w:cs="Arial"/>
                <w:sz w:val="22"/>
                <w:szCs w:val="22"/>
                <w:lang w:eastAsia="en-GB"/>
              </w:rPr>
            </w:pPr>
            <w:r w:rsidRPr="00455C67">
              <w:rPr>
                <w:rFonts w:ascii="Gill Sans MT" w:hAnsi="Gill Sans MT" w:cs="Arial"/>
                <w:sz w:val="22"/>
                <w:szCs w:val="22"/>
                <w:lang w:eastAsia="en-GB"/>
              </w:rPr>
              <w:t>Cross-Thematic</w:t>
            </w:r>
          </w:p>
        </w:tc>
        <w:tc>
          <w:tcPr>
            <w:tcW w:w="1185" w:type="dxa"/>
            <w:tcBorders>
              <w:top w:val="nil"/>
              <w:left w:val="nil"/>
              <w:bottom w:val="single" w:sz="8" w:space="0" w:color="auto"/>
              <w:right w:val="single" w:sz="8" w:space="0" w:color="auto"/>
            </w:tcBorders>
            <w:shd w:val="clear" w:color="000000" w:fill="auto"/>
            <w:vAlign w:val="center"/>
          </w:tcPr>
          <w:p w14:paraId="23F66C00" w14:textId="77777777" w:rsidR="00836A9B" w:rsidRPr="00AF15EA" w:rsidRDefault="00AF15EA" w:rsidP="00836A9B">
            <w:pPr>
              <w:jc w:val="right"/>
              <w:rPr>
                <w:rFonts w:ascii="Gill Sans MT" w:hAnsi="Gill Sans MT" w:cs="Arial"/>
                <w:iCs/>
                <w:sz w:val="22"/>
                <w:szCs w:val="22"/>
                <w:lang w:eastAsia="en-GB"/>
              </w:rPr>
            </w:pPr>
            <w:r>
              <w:rPr>
                <w:rFonts w:ascii="Gill Sans MT" w:hAnsi="Gill Sans MT" w:cs="Arial"/>
                <w:iCs/>
                <w:sz w:val="22"/>
                <w:szCs w:val="22"/>
                <w:lang w:eastAsia="en-GB"/>
              </w:rPr>
              <w:t>224,477</w:t>
            </w:r>
          </w:p>
        </w:tc>
        <w:tc>
          <w:tcPr>
            <w:tcW w:w="1337" w:type="dxa"/>
            <w:tcBorders>
              <w:top w:val="nil"/>
              <w:left w:val="nil"/>
              <w:bottom w:val="single" w:sz="8" w:space="0" w:color="auto"/>
              <w:right w:val="single" w:sz="8" w:space="0" w:color="auto"/>
            </w:tcBorders>
            <w:shd w:val="clear" w:color="000000" w:fill="auto"/>
            <w:vAlign w:val="center"/>
          </w:tcPr>
          <w:p w14:paraId="3F9A0342" w14:textId="77777777" w:rsidR="00836A9B" w:rsidRPr="00AF15EA" w:rsidRDefault="00AF15EA" w:rsidP="00836A9B">
            <w:pPr>
              <w:jc w:val="right"/>
              <w:rPr>
                <w:rFonts w:ascii="Gill Sans MT" w:hAnsi="Gill Sans MT" w:cs="Arial"/>
                <w:iCs/>
                <w:sz w:val="22"/>
                <w:szCs w:val="22"/>
                <w:lang w:eastAsia="en-GB"/>
              </w:rPr>
            </w:pPr>
            <w:r>
              <w:rPr>
                <w:rFonts w:ascii="Gill Sans MT" w:hAnsi="Gill Sans MT" w:cs="Arial"/>
                <w:iCs/>
                <w:sz w:val="22"/>
                <w:szCs w:val="22"/>
                <w:lang w:eastAsia="en-GB"/>
              </w:rPr>
              <w:t>126,992</w:t>
            </w:r>
          </w:p>
        </w:tc>
        <w:tc>
          <w:tcPr>
            <w:tcW w:w="1174" w:type="dxa"/>
            <w:tcBorders>
              <w:top w:val="nil"/>
              <w:left w:val="nil"/>
              <w:bottom w:val="single" w:sz="8" w:space="0" w:color="auto"/>
              <w:right w:val="single" w:sz="8" w:space="0" w:color="auto"/>
            </w:tcBorders>
            <w:shd w:val="clear" w:color="000000" w:fill="auto"/>
            <w:vAlign w:val="center"/>
          </w:tcPr>
          <w:p w14:paraId="127BCADA" w14:textId="77777777" w:rsidR="00836A9B" w:rsidRPr="00AF15EA" w:rsidRDefault="00AF15EA" w:rsidP="00836A9B">
            <w:pPr>
              <w:jc w:val="right"/>
              <w:rPr>
                <w:rFonts w:ascii="Gill Sans MT" w:hAnsi="Gill Sans MT" w:cs="Arial"/>
                <w:iCs/>
                <w:sz w:val="22"/>
                <w:szCs w:val="22"/>
                <w:lang w:eastAsia="en-GB"/>
              </w:rPr>
            </w:pPr>
            <w:r>
              <w:rPr>
                <w:rFonts w:ascii="Gill Sans MT" w:hAnsi="Gill Sans MT" w:cs="Arial"/>
                <w:iCs/>
                <w:sz w:val="22"/>
                <w:szCs w:val="22"/>
                <w:lang w:eastAsia="en-GB"/>
              </w:rPr>
              <w:t>(97,486)</w:t>
            </w:r>
          </w:p>
        </w:tc>
        <w:tc>
          <w:tcPr>
            <w:tcW w:w="1126" w:type="dxa"/>
            <w:tcBorders>
              <w:top w:val="nil"/>
              <w:left w:val="nil"/>
              <w:bottom w:val="single" w:sz="8" w:space="0" w:color="auto"/>
              <w:right w:val="single" w:sz="8" w:space="0" w:color="auto"/>
            </w:tcBorders>
            <w:shd w:val="clear" w:color="000000" w:fill="auto"/>
          </w:tcPr>
          <w:p w14:paraId="3221D8CD"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57%</w:t>
            </w:r>
          </w:p>
        </w:tc>
        <w:tc>
          <w:tcPr>
            <w:tcW w:w="2962" w:type="dxa"/>
            <w:tcBorders>
              <w:top w:val="nil"/>
              <w:left w:val="nil"/>
              <w:bottom w:val="single" w:sz="8" w:space="0" w:color="auto"/>
              <w:right w:val="single" w:sz="8" w:space="0" w:color="auto"/>
            </w:tcBorders>
            <w:shd w:val="clear" w:color="000000" w:fill="auto"/>
            <w:vAlign w:val="center"/>
            <w:hideMark/>
          </w:tcPr>
          <w:p w14:paraId="5786EE83" w14:textId="77777777" w:rsidR="00836A9B" w:rsidRPr="0093484D" w:rsidRDefault="00836A9B" w:rsidP="00836A9B">
            <w:pPr>
              <w:jc w:val="both"/>
              <w:rPr>
                <w:rFonts w:ascii="Gill Sans MT" w:hAnsi="Gill Sans MT" w:cs="Arial"/>
                <w:iCs/>
                <w:sz w:val="20"/>
                <w:szCs w:val="20"/>
                <w:lang w:eastAsia="en-GB"/>
              </w:rPr>
            </w:pPr>
            <w:r w:rsidRPr="0093484D">
              <w:rPr>
                <w:rFonts w:ascii="Gill Sans MT" w:hAnsi="Gill Sans MT" w:cs="Arial"/>
                <w:iCs/>
                <w:sz w:val="20"/>
                <w:szCs w:val="20"/>
                <w:lang w:eastAsia="en-GB"/>
              </w:rPr>
              <w:t xml:space="preserve">The PDQ recruitment was in mid-august 2013 whilst full cost was planned for the year. In addition, some cross-cutting activities linked to the programme quality were planned (Child Rights Situation Analysis, Child Safeguarding Training, Program monitoring visits to the field according to SCI Management Operating Standards) </w:t>
            </w:r>
          </w:p>
        </w:tc>
      </w:tr>
      <w:tr w:rsidR="00836A9B" w:rsidRPr="00455C67" w14:paraId="61DAB9BE" w14:textId="77777777" w:rsidTr="00E40885">
        <w:trPr>
          <w:trHeight w:val="330"/>
        </w:trPr>
        <w:tc>
          <w:tcPr>
            <w:tcW w:w="1740" w:type="dxa"/>
            <w:tcBorders>
              <w:top w:val="nil"/>
              <w:left w:val="single" w:sz="8" w:space="0" w:color="auto"/>
              <w:bottom w:val="single" w:sz="8" w:space="0" w:color="auto"/>
              <w:right w:val="single" w:sz="8" w:space="0" w:color="auto"/>
            </w:tcBorders>
            <w:shd w:val="clear" w:color="000000" w:fill="auto"/>
            <w:vAlign w:val="center"/>
            <w:hideMark/>
          </w:tcPr>
          <w:p w14:paraId="331D4040" w14:textId="77777777" w:rsidR="00836A9B" w:rsidRPr="00455C67" w:rsidRDefault="00836A9B" w:rsidP="00836A9B">
            <w:pPr>
              <w:rPr>
                <w:rFonts w:ascii="Gill Sans MT" w:hAnsi="Gill Sans MT" w:cs="Arial"/>
                <w:sz w:val="22"/>
                <w:szCs w:val="22"/>
                <w:lang w:eastAsia="en-GB"/>
              </w:rPr>
            </w:pPr>
            <w:r w:rsidRPr="00455C67">
              <w:rPr>
                <w:rFonts w:ascii="Gill Sans MT" w:hAnsi="Gill Sans MT" w:cs="Arial"/>
                <w:sz w:val="22"/>
                <w:szCs w:val="22"/>
                <w:lang w:eastAsia="en-GB"/>
              </w:rPr>
              <w:t>Education</w:t>
            </w:r>
          </w:p>
        </w:tc>
        <w:tc>
          <w:tcPr>
            <w:tcW w:w="1185" w:type="dxa"/>
            <w:tcBorders>
              <w:top w:val="nil"/>
              <w:left w:val="nil"/>
              <w:bottom w:val="single" w:sz="8" w:space="0" w:color="auto"/>
              <w:right w:val="single" w:sz="8" w:space="0" w:color="auto"/>
            </w:tcBorders>
            <w:shd w:val="clear" w:color="000000" w:fill="auto"/>
            <w:vAlign w:val="center"/>
          </w:tcPr>
          <w:p w14:paraId="0436B3F1" w14:textId="77777777" w:rsidR="00836A9B" w:rsidRPr="00AF15EA"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22,891</w:t>
            </w:r>
          </w:p>
        </w:tc>
        <w:tc>
          <w:tcPr>
            <w:tcW w:w="1337" w:type="dxa"/>
            <w:tcBorders>
              <w:top w:val="nil"/>
              <w:left w:val="nil"/>
              <w:bottom w:val="single" w:sz="8" w:space="0" w:color="auto"/>
              <w:right w:val="single" w:sz="8" w:space="0" w:color="auto"/>
            </w:tcBorders>
            <w:shd w:val="clear" w:color="000000" w:fill="auto"/>
            <w:vAlign w:val="center"/>
          </w:tcPr>
          <w:p w14:paraId="41A1CC1D"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27,783</w:t>
            </w:r>
          </w:p>
        </w:tc>
        <w:tc>
          <w:tcPr>
            <w:tcW w:w="1174" w:type="dxa"/>
            <w:tcBorders>
              <w:top w:val="nil"/>
              <w:left w:val="nil"/>
              <w:bottom w:val="single" w:sz="8" w:space="0" w:color="auto"/>
              <w:right w:val="single" w:sz="8" w:space="0" w:color="auto"/>
            </w:tcBorders>
            <w:shd w:val="clear" w:color="000000" w:fill="auto"/>
            <w:vAlign w:val="center"/>
          </w:tcPr>
          <w:p w14:paraId="77204AC6"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4,893</w:t>
            </w:r>
          </w:p>
        </w:tc>
        <w:tc>
          <w:tcPr>
            <w:tcW w:w="1126" w:type="dxa"/>
            <w:tcBorders>
              <w:top w:val="nil"/>
              <w:left w:val="nil"/>
              <w:bottom w:val="single" w:sz="8" w:space="0" w:color="auto"/>
              <w:right w:val="single" w:sz="8" w:space="0" w:color="auto"/>
            </w:tcBorders>
            <w:shd w:val="clear" w:color="000000" w:fill="auto"/>
          </w:tcPr>
          <w:p w14:paraId="2CE190C2"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121%</w:t>
            </w:r>
          </w:p>
        </w:tc>
        <w:tc>
          <w:tcPr>
            <w:tcW w:w="2962" w:type="dxa"/>
            <w:tcBorders>
              <w:top w:val="nil"/>
              <w:left w:val="nil"/>
              <w:bottom w:val="single" w:sz="8" w:space="0" w:color="auto"/>
              <w:right w:val="single" w:sz="8" w:space="0" w:color="auto"/>
            </w:tcBorders>
            <w:shd w:val="clear" w:color="000000" w:fill="auto"/>
            <w:vAlign w:val="center"/>
            <w:hideMark/>
          </w:tcPr>
          <w:p w14:paraId="647B1B7F" w14:textId="77777777" w:rsidR="00836A9B" w:rsidRPr="0093484D" w:rsidRDefault="007129D2" w:rsidP="00836A9B">
            <w:pPr>
              <w:jc w:val="both"/>
              <w:rPr>
                <w:rFonts w:ascii="Gill Sans MT" w:hAnsi="Gill Sans MT" w:cs="Arial"/>
                <w:iCs/>
                <w:sz w:val="20"/>
                <w:szCs w:val="20"/>
                <w:lang w:eastAsia="en-GB"/>
              </w:rPr>
            </w:pPr>
            <w:r>
              <w:rPr>
                <w:rFonts w:ascii="Gill Sans MT" w:hAnsi="Gill Sans MT" w:cs="Arial"/>
                <w:iCs/>
                <w:sz w:val="20"/>
                <w:szCs w:val="20"/>
                <w:lang w:eastAsia="en-GB"/>
              </w:rPr>
              <w:t>The budget figures are based on provisional information on transition. This theme is actually underspent by about $25k. funds will be refunded to the donor (CAM-Spanish donor).</w:t>
            </w:r>
          </w:p>
        </w:tc>
      </w:tr>
      <w:tr w:rsidR="00836A9B" w:rsidRPr="00455C67" w14:paraId="35F4301F" w14:textId="77777777" w:rsidTr="00E40885">
        <w:trPr>
          <w:trHeight w:val="330"/>
        </w:trPr>
        <w:tc>
          <w:tcPr>
            <w:tcW w:w="1740" w:type="dxa"/>
            <w:tcBorders>
              <w:top w:val="nil"/>
              <w:left w:val="single" w:sz="8" w:space="0" w:color="auto"/>
              <w:bottom w:val="single" w:sz="8" w:space="0" w:color="auto"/>
              <w:right w:val="single" w:sz="8" w:space="0" w:color="auto"/>
            </w:tcBorders>
            <w:shd w:val="clear" w:color="000000" w:fill="auto"/>
            <w:vAlign w:val="center"/>
            <w:hideMark/>
          </w:tcPr>
          <w:p w14:paraId="1F14895D" w14:textId="77777777" w:rsidR="00836A9B" w:rsidRPr="00455C67" w:rsidRDefault="00836A9B" w:rsidP="00836A9B">
            <w:pPr>
              <w:rPr>
                <w:rFonts w:ascii="Gill Sans MT" w:hAnsi="Gill Sans MT" w:cs="Arial"/>
                <w:sz w:val="22"/>
                <w:szCs w:val="22"/>
                <w:lang w:eastAsia="en-GB"/>
              </w:rPr>
            </w:pPr>
            <w:r w:rsidRPr="00455C67">
              <w:rPr>
                <w:rFonts w:ascii="Gill Sans MT" w:hAnsi="Gill Sans MT" w:cs="Arial"/>
                <w:sz w:val="22"/>
                <w:szCs w:val="22"/>
                <w:lang w:eastAsia="en-GB"/>
              </w:rPr>
              <w:t>Health</w:t>
            </w:r>
          </w:p>
        </w:tc>
        <w:tc>
          <w:tcPr>
            <w:tcW w:w="1185" w:type="dxa"/>
            <w:tcBorders>
              <w:top w:val="nil"/>
              <w:left w:val="nil"/>
              <w:bottom w:val="single" w:sz="8" w:space="0" w:color="auto"/>
              <w:right w:val="single" w:sz="8" w:space="0" w:color="auto"/>
            </w:tcBorders>
            <w:shd w:val="clear" w:color="000000" w:fill="auto"/>
            <w:vAlign w:val="center"/>
          </w:tcPr>
          <w:p w14:paraId="71E6785E"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251,001</w:t>
            </w:r>
          </w:p>
        </w:tc>
        <w:tc>
          <w:tcPr>
            <w:tcW w:w="1337" w:type="dxa"/>
            <w:tcBorders>
              <w:top w:val="nil"/>
              <w:left w:val="nil"/>
              <w:bottom w:val="single" w:sz="8" w:space="0" w:color="auto"/>
              <w:right w:val="single" w:sz="8" w:space="0" w:color="auto"/>
            </w:tcBorders>
            <w:shd w:val="clear" w:color="000000" w:fill="auto"/>
            <w:vAlign w:val="center"/>
          </w:tcPr>
          <w:p w14:paraId="31A4A835"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160,145</w:t>
            </w:r>
          </w:p>
        </w:tc>
        <w:tc>
          <w:tcPr>
            <w:tcW w:w="1174" w:type="dxa"/>
            <w:tcBorders>
              <w:top w:val="nil"/>
              <w:left w:val="nil"/>
              <w:bottom w:val="single" w:sz="8" w:space="0" w:color="auto"/>
              <w:right w:val="single" w:sz="8" w:space="0" w:color="auto"/>
            </w:tcBorders>
            <w:shd w:val="clear" w:color="000000" w:fill="auto"/>
            <w:vAlign w:val="center"/>
          </w:tcPr>
          <w:p w14:paraId="14D5CF0D"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(90,857)</w:t>
            </w:r>
          </w:p>
        </w:tc>
        <w:tc>
          <w:tcPr>
            <w:tcW w:w="1126" w:type="dxa"/>
            <w:tcBorders>
              <w:top w:val="nil"/>
              <w:left w:val="nil"/>
              <w:bottom w:val="single" w:sz="8" w:space="0" w:color="auto"/>
              <w:right w:val="single" w:sz="8" w:space="0" w:color="auto"/>
            </w:tcBorders>
            <w:shd w:val="clear" w:color="000000" w:fill="auto"/>
          </w:tcPr>
          <w:p w14:paraId="6974D85F"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64%</w:t>
            </w:r>
          </w:p>
        </w:tc>
        <w:tc>
          <w:tcPr>
            <w:tcW w:w="2962" w:type="dxa"/>
            <w:tcBorders>
              <w:top w:val="nil"/>
              <w:left w:val="nil"/>
              <w:bottom w:val="single" w:sz="8" w:space="0" w:color="auto"/>
              <w:right w:val="single" w:sz="8" w:space="0" w:color="auto"/>
            </w:tcBorders>
            <w:shd w:val="clear" w:color="000000" w:fill="auto"/>
            <w:vAlign w:val="center"/>
            <w:hideMark/>
          </w:tcPr>
          <w:p w14:paraId="429DAC9F" w14:textId="77777777" w:rsidR="00836A9B" w:rsidRPr="006619CF" w:rsidRDefault="00836A9B" w:rsidP="006619CF">
            <w:pPr>
              <w:jc w:val="both"/>
              <w:rPr>
                <w:rFonts w:ascii="Gill Sans MT" w:hAnsi="Gill Sans MT" w:cs="Arial"/>
                <w:iCs/>
                <w:sz w:val="20"/>
                <w:szCs w:val="20"/>
                <w:lang w:eastAsia="en-GB"/>
              </w:rPr>
            </w:pPr>
            <w:r w:rsidRPr="006619CF">
              <w:rPr>
                <w:rFonts w:ascii="Gill Sans MT" w:hAnsi="Gill Sans MT" w:cs="Arial"/>
                <w:iCs/>
                <w:sz w:val="20"/>
                <w:szCs w:val="20"/>
                <w:highlight w:val="lightGray"/>
                <w:lang w:eastAsia="en-GB"/>
              </w:rPr>
              <w:t xml:space="preserve">Latrines constructions activities delayed </w:t>
            </w:r>
            <w:r w:rsidR="006619CF" w:rsidRPr="006619CF">
              <w:rPr>
                <w:rFonts w:ascii="Gill Sans MT" w:hAnsi="Gill Sans MT" w:cs="Arial"/>
                <w:iCs/>
                <w:sz w:val="20"/>
                <w:szCs w:val="20"/>
                <w:highlight w:val="lightGray"/>
                <w:lang w:eastAsia="en-GB"/>
              </w:rPr>
              <w:t>and to be completed in 2015</w:t>
            </w:r>
            <w:r w:rsidRPr="006619CF">
              <w:rPr>
                <w:rFonts w:ascii="Gill Sans MT" w:hAnsi="Gill Sans MT" w:cs="Arial"/>
                <w:iCs/>
                <w:sz w:val="20"/>
                <w:szCs w:val="20"/>
                <w:highlight w:val="lightGray"/>
                <w:lang w:eastAsia="en-GB"/>
              </w:rPr>
              <w:t>.</w:t>
            </w:r>
            <w:r w:rsidR="006619CF" w:rsidRPr="006619CF">
              <w:rPr>
                <w:rFonts w:ascii="Gill Sans MT" w:hAnsi="Gill Sans MT" w:cs="Arial"/>
                <w:iCs/>
                <w:sz w:val="20"/>
                <w:szCs w:val="20"/>
                <w:lang w:eastAsia="en-GB"/>
              </w:rPr>
              <w:t xml:space="preserve"> This is a multi-year award</w:t>
            </w:r>
          </w:p>
        </w:tc>
      </w:tr>
      <w:tr w:rsidR="00836A9B" w:rsidRPr="00455C67" w14:paraId="1C6E318E" w14:textId="77777777" w:rsidTr="00E40885">
        <w:trPr>
          <w:trHeight w:val="645"/>
        </w:trPr>
        <w:tc>
          <w:tcPr>
            <w:tcW w:w="1740" w:type="dxa"/>
            <w:tcBorders>
              <w:top w:val="nil"/>
              <w:left w:val="single" w:sz="8" w:space="0" w:color="auto"/>
              <w:bottom w:val="single" w:sz="8" w:space="0" w:color="auto"/>
              <w:right w:val="single" w:sz="8" w:space="0" w:color="auto"/>
            </w:tcBorders>
            <w:shd w:val="clear" w:color="000000" w:fill="auto"/>
            <w:vAlign w:val="center"/>
            <w:hideMark/>
          </w:tcPr>
          <w:p w14:paraId="73E6DF5D" w14:textId="77777777" w:rsidR="00836A9B" w:rsidRPr="00455C67" w:rsidRDefault="00836A9B" w:rsidP="00836A9B">
            <w:pPr>
              <w:rPr>
                <w:rFonts w:ascii="Gill Sans MT" w:hAnsi="Gill Sans MT" w:cs="Arial"/>
                <w:sz w:val="22"/>
                <w:szCs w:val="22"/>
                <w:lang w:eastAsia="en-GB"/>
              </w:rPr>
            </w:pPr>
            <w:r w:rsidRPr="00455C67">
              <w:rPr>
                <w:rFonts w:ascii="Gill Sans MT" w:hAnsi="Gill Sans MT" w:cs="Arial"/>
                <w:sz w:val="22"/>
                <w:szCs w:val="22"/>
                <w:lang w:eastAsia="en-GB"/>
              </w:rPr>
              <w:t>HIV/AIDS</w:t>
            </w:r>
          </w:p>
        </w:tc>
        <w:tc>
          <w:tcPr>
            <w:tcW w:w="1185" w:type="dxa"/>
            <w:tcBorders>
              <w:top w:val="nil"/>
              <w:left w:val="nil"/>
              <w:bottom w:val="single" w:sz="8" w:space="0" w:color="auto"/>
              <w:right w:val="single" w:sz="8" w:space="0" w:color="auto"/>
            </w:tcBorders>
            <w:shd w:val="clear" w:color="000000" w:fill="auto"/>
            <w:vAlign w:val="center"/>
          </w:tcPr>
          <w:p w14:paraId="7B13E546"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17,659</w:t>
            </w:r>
          </w:p>
        </w:tc>
        <w:tc>
          <w:tcPr>
            <w:tcW w:w="1337" w:type="dxa"/>
            <w:tcBorders>
              <w:top w:val="nil"/>
              <w:left w:val="nil"/>
              <w:bottom w:val="single" w:sz="8" w:space="0" w:color="auto"/>
              <w:right w:val="single" w:sz="8" w:space="0" w:color="auto"/>
            </w:tcBorders>
            <w:shd w:val="clear" w:color="000000" w:fill="auto"/>
            <w:vAlign w:val="center"/>
          </w:tcPr>
          <w:p w14:paraId="454F9D40"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30,394</w:t>
            </w:r>
          </w:p>
        </w:tc>
        <w:tc>
          <w:tcPr>
            <w:tcW w:w="1174" w:type="dxa"/>
            <w:tcBorders>
              <w:top w:val="nil"/>
              <w:left w:val="nil"/>
              <w:bottom w:val="single" w:sz="8" w:space="0" w:color="auto"/>
              <w:right w:val="single" w:sz="8" w:space="0" w:color="auto"/>
            </w:tcBorders>
            <w:shd w:val="clear" w:color="000000" w:fill="auto"/>
            <w:vAlign w:val="center"/>
          </w:tcPr>
          <w:p w14:paraId="1A506C9B"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12,735</w:t>
            </w:r>
          </w:p>
        </w:tc>
        <w:tc>
          <w:tcPr>
            <w:tcW w:w="1126" w:type="dxa"/>
            <w:tcBorders>
              <w:top w:val="nil"/>
              <w:left w:val="nil"/>
              <w:bottom w:val="single" w:sz="8" w:space="0" w:color="auto"/>
              <w:right w:val="single" w:sz="8" w:space="0" w:color="auto"/>
            </w:tcBorders>
            <w:shd w:val="clear" w:color="000000" w:fill="auto"/>
          </w:tcPr>
          <w:p w14:paraId="1A632D4F"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172%</w:t>
            </w:r>
          </w:p>
        </w:tc>
        <w:tc>
          <w:tcPr>
            <w:tcW w:w="2962" w:type="dxa"/>
            <w:tcBorders>
              <w:top w:val="nil"/>
              <w:left w:val="nil"/>
              <w:bottom w:val="single" w:sz="8" w:space="0" w:color="auto"/>
              <w:right w:val="single" w:sz="8" w:space="0" w:color="auto"/>
            </w:tcBorders>
            <w:shd w:val="clear" w:color="000000" w:fill="auto"/>
            <w:vAlign w:val="center"/>
            <w:hideMark/>
          </w:tcPr>
          <w:p w14:paraId="69CDEF9C" w14:textId="77777777" w:rsidR="00836A9B" w:rsidRPr="0093484D" w:rsidRDefault="006619CF" w:rsidP="00836A9B">
            <w:pPr>
              <w:jc w:val="both"/>
              <w:rPr>
                <w:rFonts w:ascii="Gill Sans MT" w:hAnsi="Gill Sans MT" w:cs="Arial"/>
                <w:iCs/>
                <w:sz w:val="20"/>
                <w:szCs w:val="20"/>
                <w:lang w:eastAsia="en-GB"/>
              </w:rPr>
            </w:pPr>
            <w:r>
              <w:rPr>
                <w:rFonts w:ascii="Gill Sans MT" w:hAnsi="Gill Sans MT" w:cs="Arial"/>
                <w:iCs/>
                <w:sz w:val="20"/>
                <w:szCs w:val="20"/>
                <w:lang w:eastAsia="en-GB"/>
              </w:rPr>
              <w:t>Forecast budget is understated. The activities were fully utilised.</w:t>
            </w:r>
          </w:p>
        </w:tc>
      </w:tr>
      <w:tr w:rsidR="00836A9B" w:rsidRPr="00455C67" w14:paraId="6A169E2A" w14:textId="77777777" w:rsidTr="00E40885">
        <w:trPr>
          <w:trHeight w:val="330"/>
        </w:trPr>
        <w:tc>
          <w:tcPr>
            <w:tcW w:w="1740" w:type="dxa"/>
            <w:tcBorders>
              <w:top w:val="nil"/>
              <w:left w:val="single" w:sz="8" w:space="0" w:color="auto"/>
              <w:bottom w:val="single" w:sz="8" w:space="0" w:color="auto"/>
              <w:right w:val="single" w:sz="8" w:space="0" w:color="auto"/>
            </w:tcBorders>
            <w:shd w:val="clear" w:color="000000" w:fill="auto"/>
            <w:vAlign w:val="center"/>
            <w:hideMark/>
          </w:tcPr>
          <w:p w14:paraId="4A6FCE0E" w14:textId="77777777" w:rsidR="00836A9B" w:rsidRPr="00455C67" w:rsidRDefault="00836A9B" w:rsidP="00836A9B">
            <w:pPr>
              <w:rPr>
                <w:rFonts w:ascii="Gill Sans MT" w:hAnsi="Gill Sans MT" w:cs="Arial"/>
                <w:sz w:val="22"/>
                <w:szCs w:val="22"/>
                <w:lang w:eastAsia="en-GB"/>
              </w:rPr>
            </w:pPr>
            <w:r w:rsidRPr="00455C67">
              <w:rPr>
                <w:rFonts w:ascii="Gill Sans MT" w:hAnsi="Gill Sans MT" w:cs="Arial"/>
                <w:sz w:val="22"/>
                <w:szCs w:val="22"/>
                <w:lang w:eastAsia="en-GB"/>
              </w:rPr>
              <w:lastRenderedPageBreak/>
              <w:t>Non-thematic</w:t>
            </w:r>
          </w:p>
        </w:tc>
        <w:tc>
          <w:tcPr>
            <w:tcW w:w="1185" w:type="dxa"/>
            <w:tcBorders>
              <w:top w:val="nil"/>
              <w:left w:val="nil"/>
              <w:bottom w:val="single" w:sz="8" w:space="0" w:color="auto"/>
              <w:right w:val="single" w:sz="8" w:space="0" w:color="auto"/>
            </w:tcBorders>
            <w:shd w:val="clear" w:color="000000" w:fill="auto"/>
            <w:vAlign w:val="center"/>
          </w:tcPr>
          <w:p w14:paraId="3E40D524"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944,780</w:t>
            </w:r>
          </w:p>
        </w:tc>
        <w:tc>
          <w:tcPr>
            <w:tcW w:w="1337" w:type="dxa"/>
            <w:tcBorders>
              <w:top w:val="nil"/>
              <w:left w:val="nil"/>
              <w:bottom w:val="single" w:sz="8" w:space="0" w:color="auto"/>
              <w:right w:val="single" w:sz="8" w:space="0" w:color="auto"/>
            </w:tcBorders>
            <w:shd w:val="clear" w:color="000000" w:fill="auto"/>
            <w:vAlign w:val="center"/>
          </w:tcPr>
          <w:p w14:paraId="583D88B0"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1,102,637</w:t>
            </w:r>
          </w:p>
        </w:tc>
        <w:tc>
          <w:tcPr>
            <w:tcW w:w="1174" w:type="dxa"/>
            <w:tcBorders>
              <w:top w:val="nil"/>
              <w:left w:val="nil"/>
              <w:bottom w:val="single" w:sz="8" w:space="0" w:color="auto"/>
              <w:right w:val="single" w:sz="8" w:space="0" w:color="auto"/>
            </w:tcBorders>
            <w:shd w:val="clear" w:color="000000" w:fill="auto"/>
            <w:vAlign w:val="center"/>
          </w:tcPr>
          <w:p w14:paraId="4BB1B422" w14:textId="77777777" w:rsidR="00836A9B" w:rsidRPr="0093484D" w:rsidRDefault="0093484D" w:rsidP="0093484D">
            <w:pPr>
              <w:jc w:val="right"/>
              <w:rPr>
                <w:rFonts w:ascii="Gill Sans MT" w:hAnsi="Gill Sans MT" w:cs="Arial"/>
                <w:iCs/>
                <w:sz w:val="22"/>
                <w:szCs w:val="22"/>
                <w:lang w:eastAsia="en-GB"/>
              </w:rPr>
            </w:pPr>
            <w:r>
              <w:rPr>
                <w:rFonts w:ascii="Gill Sans MT" w:hAnsi="Gill Sans MT" w:cs="Arial"/>
                <w:iCs/>
                <w:sz w:val="22"/>
                <w:szCs w:val="22"/>
                <w:lang w:eastAsia="en-GB"/>
              </w:rPr>
              <w:t>157,857</w:t>
            </w:r>
          </w:p>
        </w:tc>
        <w:tc>
          <w:tcPr>
            <w:tcW w:w="1126" w:type="dxa"/>
            <w:tcBorders>
              <w:top w:val="nil"/>
              <w:left w:val="nil"/>
              <w:bottom w:val="single" w:sz="8" w:space="0" w:color="auto"/>
              <w:right w:val="single" w:sz="8" w:space="0" w:color="auto"/>
            </w:tcBorders>
            <w:shd w:val="clear" w:color="000000" w:fill="auto"/>
          </w:tcPr>
          <w:p w14:paraId="7B586147" w14:textId="77777777" w:rsidR="00836A9B" w:rsidRPr="0093484D" w:rsidRDefault="0093484D" w:rsidP="00836A9B">
            <w:pPr>
              <w:jc w:val="right"/>
              <w:rPr>
                <w:rFonts w:ascii="Gill Sans MT" w:hAnsi="Gill Sans MT" w:cs="Arial"/>
                <w:iCs/>
                <w:sz w:val="22"/>
                <w:szCs w:val="22"/>
                <w:lang w:eastAsia="en-GB"/>
              </w:rPr>
            </w:pPr>
            <w:r>
              <w:rPr>
                <w:rFonts w:ascii="Gill Sans MT" w:hAnsi="Gill Sans MT" w:cs="Arial"/>
                <w:iCs/>
                <w:sz w:val="22"/>
                <w:szCs w:val="22"/>
                <w:lang w:eastAsia="en-GB"/>
              </w:rPr>
              <w:t>117%</w:t>
            </w:r>
          </w:p>
        </w:tc>
        <w:tc>
          <w:tcPr>
            <w:tcW w:w="2962" w:type="dxa"/>
            <w:tcBorders>
              <w:top w:val="nil"/>
              <w:left w:val="nil"/>
              <w:bottom w:val="single" w:sz="8" w:space="0" w:color="auto"/>
              <w:right w:val="single" w:sz="8" w:space="0" w:color="auto"/>
            </w:tcBorders>
            <w:shd w:val="clear" w:color="000000" w:fill="auto"/>
            <w:vAlign w:val="center"/>
            <w:hideMark/>
          </w:tcPr>
          <w:p w14:paraId="0898D456" w14:textId="77777777" w:rsidR="00836A9B" w:rsidRPr="006619CF" w:rsidRDefault="00E40885" w:rsidP="00836A9B">
            <w:pPr>
              <w:jc w:val="both"/>
              <w:rPr>
                <w:rFonts w:ascii="Gill Sans MT" w:hAnsi="Gill Sans MT" w:cs="Arial"/>
                <w:iCs/>
                <w:sz w:val="22"/>
                <w:szCs w:val="22"/>
                <w:lang w:eastAsia="en-GB"/>
              </w:rPr>
            </w:pPr>
            <w:r>
              <w:rPr>
                <w:rFonts w:ascii="Gill Sans MT" w:hAnsi="Gill Sans MT" w:cs="Arial"/>
                <w:iCs/>
                <w:sz w:val="22"/>
                <w:szCs w:val="22"/>
                <w:lang w:eastAsia="en-GB"/>
              </w:rPr>
              <w:t>Provision of $283k potential write-off of pre-transition partner advances. Member and CO working to resolve outstanding matter.</w:t>
            </w:r>
          </w:p>
        </w:tc>
      </w:tr>
      <w:tr w:rsidR="00836A9B" w:rsidRPr="00455C67" w14:paraId="49C00508" w14:textId="77777777" w:rsidTr="00E40885">
        <w:trPr>
          <w:trHeight w:val="330"/>
        </w:trPr>
        <w:tc>
          <w:tcPr>
            <w:tcW w:w="1740" w:type="dxa"/>
            <w:tcBorders>
              <w:top w:val="nil"/>
              <w:left w:val="single" w:sz="8" w:space="0" w:color="auto"/>
              <w:bottom w:val="single" w:sz="8" w:space="0" w:color="auto"/>
              <w:right w:val="single" w:sz="8" w:space="0" w:color="auto"/>
            </w:tcBorders>
            <w:shd w:val="clear" w:color="000000" w:fill="auto"/>
            <w:vAlign w:val="center"/>
            <w:hideMark/>
          </w:tcPr>
          <w:p w14:paraId="00BE9092" w14:textId="77777777" w:rsidR="00836A9B" w:rsidRPr="00455C67" w:rsidRDefault="00836A9B" w:rsidP="00836A9B">
            <w:pPr>
              <w:jc w:val="both"/>
              <w:rPr>
                <w:rFonts w:ascii="Gill Sans MT" w:hAnsi="Gill Sans MT" w:cs="Arial"/>
                <w:b/>
                <w:bCs/>
                <w:sz w:val="22"/>
                <w:szCs w:val="22"/>
                <w:lang w:eastAsia="en-GB"/>
              </w:rPr>
            </w:pPr>
            <w:r w:rsidRPr="00455C67">
              <w:rPr>
                <w:rFonts w:ascii="Gill Sans MT" w:hAnsi="Gill Sans MT" w:cs="Arial"/>
                <w:b/>
                <w:bCs/>
                <w:sz w:val="22"/>
                <w:szCs w:val="22"/>
                <w:lang w:eastAsia="en-GB"/>
              </w:rPr>
              <w:t>Total</w:t>
            </w:r>
          </w:p>
        </w:tc>
        <w:tc>
          <w:tcPr>
            <w:tcW w:w="1185" w:type="dxa"/>
            <w:tcBorders>
              <w:top w:val="nil"/>
              <w:left w:val="nil"/>
              <w:bottom w:val="single" w:sz="8" w:space="0" w:color="auto"/>
              <w:right w:val="single" w:sz="8" w:space="0" w:color="auto"/>
            </w:tcBorders>
            <w:shd w:val="clear" w:color="000000" w:fill="auto"/>
            <w:vAlign w:val="center"/>
          </w:tcPr>
          <w:p w14:paraId="29BCE651" w14:textId="77777777" w:rsidR="00836A9B" w:rsidRPr="00455C67" w:rsidRDefault="0093484D" w:rsidP="00836A9B">
            <w:pPr>
              <w:jc w:val="right"/>
              <w:rPr>
                <w:rFonts w:ascii="Gill Sans MT" w:hAnsi="Gill Sans MT" w:cs="Arial"/>
                <w:b/>
                <w:iCs/>
                <w:sz w:val="22"/>
                <w:szCs w:val="22"/>
                <w:lang w:eastAsia="en-GB"/>
              </w:rPr>
            </w:pPr>
            <w:r>
              <w:rPr>
                <w:rFonts w:ascii="Gill Sans MT" w:hAnsi="Gill Sans MT" w:cs="Arial"/>
                <w:b/>
                <w:iCs/>
                <w:sz w:val="22"/>
                <w:szCs w:val="22"/>
                <w:lang w:eastAsia="en-GB"/>
              </w:rPr>
              <w:t>5,473,501</w:t>
            </w:r>
          </w:p>
        </w:tc>
        <w:tc>
          <w:tcPr>
            <w:tcW w:w="1337" w:type="dxa"/>
            <w:tcBorders>
              <w:top w:val="nil"/>
              <w:left w:val="nil"/>
              <w:bottom w:val="single" w:sz="8" w:space="0" w:color="auto"/>
              <w:right w:val="single" w:sz="8" w:space="0" w:color="auto"/>
            </w:tcBorders>
            <w:shd w:val="clear" w:color="000000" w:fill="auto"/>
            <w:vAlign w:val="center"/>
          </w:tcPr>
          <w:p w14:paraId="4EDC6A86" w14:textId="77777777" w:rsidR="00836A9B" w:rsidRPr="00455C67" w:rsidRDefault="0093484D" w:rsidP="00836A9B">
            <w:pPr>
              <w:jc w:val="right"/>
              <w:rPr>
                <w:rFonts w:ascii="Gill Sans MT" w:hAnsi="Gill Sans MT" w:cs="Arial"/>
                <w:b/>
                <w:iCs/>
                <w:sz w:val="22"/>
                <w:szCs w:val="22"/>
                <w:lang w:eastAsia="en-GB"/>
              </w:rPr>
            </w:pPr>
            <w:r>
              <w:rPr>
                <w:rFonts w:ascii="Gill Sans MT" w:hAnsi="Gill Sans MT" w:cs="Arial"/>
                <w:b/>
                <w:iCs/>
                <w:sz w:val="22"/>
                <w:szCs w:val="22"/>
                <w:lang w:eastAsia="en-GB"/>
              </w:rPr>
              <w:t>4,681,605</w:t>
            </w:r>
          </w:p>
        </w:tc>
        <w:tc>
          <w:tcPr>
            <w:tcW w:w="1174" w:type="dxa"/>
            <w:tcBorders>
              <w:top w:val="nil"/>
              <w:left w:val="nil"/>
              <w:bottom w:val="single" w:sz="8" w:space="0" w:color="auto"/>
              <w:right w:val="single" w:sz="8" w:space="0" w:color="auto"/>
            </w:tcBorders>
            <w:shd w:val="clear" w:color="000000" w:fill="auto"/>
            <w:vAlign w:val="center"/>
          </w:tcPr>
          <w:p w14:paraId="78EF6564" w14:textId="77777777" w:rsidR="00836A9B" w:rsidRPr="00455C67" w:rsidRDefault="0093484D" w:rsidP="00836A9B">
            <w:pPr>
              <w:jc w:val="right"/>
              <w:rPr>
                <w:rFonts w:ascii="Gill Sans MT" w:hAnsi="Gill Sans MT" w:cs="Arial"/>
                <w:b/>
                <w:iCs/>
                <w:sz w:val="22"/>
                <w:szCs w:val="22"/>
                <w:lang w:eastAsia="en-GB"/>
              </w:rPr>
            </w:pPr>
            <w:r>
              <w:rPr>
                <w:rFonts w:ascii="Gill Sans MT" w:hAnsi="Gill Sans MT" w:cs="Arial"/>
                <w:b/>
                <w:iCs/>
                <w:sz w:val="22"/>
                <w:szCs w:val="22"/>
                <w:lang w:eastAsia="en-GB"/>
              </w:rPr>
              <w:t>(791,896)</w:t>
            </w:r>
          </w:p>
        </w:tc>
        <w:tc>
          <w:tcPr>
            <w:tcW w:w="1126" w:type="dxa"/>
            <w:tcBorders>
              <w:top w:val="nil"/>
              <w:left w:val="nil"/>
              <w:bottom w:val="single" w:sz="8" w:space="0" w:color="auto"/>
              <w:right w:val="single" w:sz="8" w:space="0" w:color="auto"/>
            </w:tcBorders>
            <w:shd w:val="clear" w:color="000000" w:fill="auto"/>
          </w:tcPr>
          <w:p w14:paraId="1311933C" w14:textId="77777777" w:rsidR="00836A9B" w:rsidRPr="0093484D" w:rsidRDefault="0093484D" w:rsidP="00836A9B">
            <w:pPr>
              <w:jc w:val="right"/>
              <w:rPr>
                <w:rFonts w:ascii="Gill Sans MT" w:hAnsi="Gill Sans MT" w:cs="Arial"/>
                <w:b/>
                <w:iCs/>
                <w:sz w:val="22"/>
                <w:szCs w:val="22"/>
                <w:lang w:eastAsia="en-GB"/>
              </w:rPr>
            </w:pPr>
            <w:r>
              <w:rPr>
                <w:rFonts w:ascii="Gill Sans MT" w:hAnsi="Gill Sans MT" w:cs="Arial"/>
                <w:b/>
                <w:iCs/>
                <w:sz w:val="22"/>
                <w:szCs w:val="22"/>
                <w:lang w:eastAsia="en-GB"/>
              </w:rPr>
              <w:t>86%</w:t>
            </w:r>
          </w:p>
        </w:tc>
        <w:tc>
          <w:tcPr>
            <w:tcW w:w="2962" w:type="dxa"/>
            <w:tcBorders>
              <w:top w:val="nil"/>
              <w:left w:val="nil"/>
              <w:bottom w:val="single" w:sz="8" w:space="0" w:color="auto"/>
              <w:right w:val="single" w:sz="8" w:space="0" w:color="auto"/>
            </w:tcBorders>
            <w:shd w:val="clear" w:color="000000" w:fill="auto"/>
            <w:vAlign w:val="center"/>
            <w:hideMark/>
          </w:tcPr>
          <w:p w14:paraId="244A1979" w14:textId="77777777" w:rsidR="00836A9B" w:rsidRPr="0093484D" w:rsidRDefault="00836A9B" w:rsidP="00836A9B">
            <w:pPr>
              <w:jc w:val="both"/>
              <w:rPr>
                <w:rFonts w:ascii="Gill Sans MT" w:hAnsi="Gill Sans MT" w:cs="Arial"/>
                <w:iCs/>
                <w:sz w:val="22"/>
                <w:szCs w:val="22"/>
                <w:lang w:eastAsia="en-GB"/>
              </w:rPr>
            </w:pPr>
          </w:p>
        </w:tc>
      </w:tr>
    </w:tbl>
    <w:p w14:paraId="668DE815" w14:textId="77777777" w:rsidR="002847DB" w:rsidRDefault="00455C67" w:rsidP="006619CF">
      <w:pPr>
        <w:rPr>
          <w:rFonts w:ascii="Gill Sans MT" w:hAnsi="Gill Sans MT" w:cstheme="minorHAnsi"/>
          <w:b/>
        </w:rPr>
      </w:pPr>
      <w:r>
        <w:rPr>
          <w:rFonts w:ascii="Gill Sans MT" w:hAnsi="Gill Sans MT" w:cstheme="minorHAnsi"/>
          <w:b/>
        </w:rPr>
        <w:br w:type="page"/>
      </w:r>
      <w:r w:rsidR="002847DB">
        <w:rPr>
          <w:rFonts w:ascii="Gill Sans MT" w:hAnsi="Gill Sans MT" w:cstheme="minorHAnsi"/>
          <w:b/>
        </w:rPr>
        <w:lastRenderedPageBreak/>
        <w:t>Table II.  Actuals 2013 by Theme</w:t>
      </w:r>
    </w:p>
    <w:p w14:paraId="6D0D6836" w14:textId="77777777" w:rsidR="002847DB" w:rsidRDefault="002847DB" w:rsidP="00455C67">
      <w:pPr>
        <w:jc w:val="both"/>
        <w:rPr>
          <w:rFonts w:ascii="Gill Sans MT" w:hAnsi="Gill Sans MT" w:cstheme="minorHAnsi"/>
          <w:b/>
        </w:rPr>
      </w:pPr>
    </w:p>
    <w:p w14:paraId="3663BFC0" w14:textId="77777777" w:rsidR="002847DB" w:rsidRDefault="002847DB" w:rsidP="00455C67">
      <w:pPr>
        <w:jc w:val="both"/>
        <w:rPr>
          <w:rFonts w:ascii="Gill Sans MT" w:hAnsi="Gill Sans MT" w:cstheme="minorHAnsi"/>
          <w:b/>
        </w:rPr>
      </w:pPr>
      <w:r>
        <w:rPr>
          <w:noProof/>
          <w:lang w:val="en-US"/>
        </w:rPr>
        <w:drawing>
          <wp:inline distT="0" distB="0" distL="0" distR="0" wp14:anchorId="4DECBDCE" wp14:editId="0E3A6AF8">
            <wp:extent cx="5314950" cy="431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14950" cy="4314825"/>
                    </a:xfrm>
                    <a:prstGeom prst="rect">
                      <a:avLst/>
                    </a:prstGeom>
                  </pic:spPr>
                </pic:pic>
              </a:graphicData>
            </a:graphic>
          </wp:inline>
        </w:drawing>
      </w:r>
    </w:p>
    <w:p w14:paraId="2BC00464" w14:textId="77777777" w:rsidR="002847DB" w:rsidRDefault="002847DB" w:rsidP="00455C67">
      <w:pPr>
        <w:jc w:val="both"/>
        <w:rPr>
          <w:rFonts w:ascii="Gill Sans MT" w:hAnsi="Gill Sans MT" w:cstheme="minorHAnsi"/>
          <w:b/>
        </w:rPr>
      </w:pPr>
    </w:p>
    <w:p w14:paraId="0075296D" w14:textId="77777777" w:rsidR="00455C67" w:rsidRDefault="00455C67" w:rsidP="00455C67">
      <w:pPr>
        <w:jc w:val="both"/>
        <w:rPr>
          <w:rFonts w:ascii="Gill Sans MT" w:hAnsi="Gill Sans MT" w:cstheme="minorHAnsi"/>
          <w:b/>
        </w:rPr>
      </w:pPr>
    </w:p>
    <w:p w14:paraId="29C2FDCF" w14:textId="77777777" w:rsidR="00455C67" w:rsidRDefault="00455C67" w:rsidP="00455C67">
      <w:pPr>
        <w:jc w:val="both"/>
        <w:rPr>
          <w:rFonts w:ascii="Gill Sans MT" w:hAnsi="Gill Sans MT" w:cstheme="minorHAnsi"/>
          <w:b/>
        </w:rPr>
      </w:pPr>
    </w:p>
    <w:p w14:paraId="388FC56B" w14:textId="77777777" w:rsidR="00E920CB" w:rsidRDefault="00E920CB" w:rsidP="001B7579">
      <w:pPr>
        <w:jc w:val="both"/>
        <w:rPr>
          <w:rFonts w:ascii="Gill Sans MT" w:hAnsi="Gill Sans MT" w:cstheme="minorHAnsi"/>
          <w:b/>
        </w:rPr>
      </w:pPr>
    </w:p>
    <w:p w14:paraId="7E956954" w14:textId="77777777" w:rsidR="00E920CB" w:rsidRDefault="00E920CB" w:rsidP="001B7579">
      <w:pPr>
        <w:jc w:val="both"/>
        <w:rPr>
          <w:rFonts w:ascii="Gill Sans MT" w:hAnsi="Gill Sans MT" w:cstheme="minorHAnsi"/>
          <w:b/>
        </w:rPr>
      </w:pPr>
    </w:p>
    <w:p w14:paraId="44F6C0BD" w14:textId="77777777" w:rsidR="00E920CB" w:rsidRPr="0012315B" w:rsidRDefault="0012315B" w:rsidP="00D6573E">
      <w:pPr>
        <w:pStyle w:val="Heading1"/>
      </w:pPr>
      <w:bookmarkStart w:id="6" w:name="_Toc384042247"/>
      <w:r>
        <w:t>VI</w:t>
      </w:r>
      <w:r w:rsidR="00D6573E">
        <w:t>-</w:t>
      </w:r>
      <w:r>
        <w:t xml:space="preserve"> </w:t>
      </w:r>
      <w:r w:rsidR="00E920CB" w:rsidRPr="0012315B">
        <w:t>Annexes</w:t>
      </w:r>
      <w:bookmarkEnd w:id="6"/>
    </w:p>
    <w:p w14:paraId="494CEADA" w14:textId="77777777" w:rsidR="00E920CB" w:rsidRDefault="00E920CB" w:rsidP="00E920CB">
      <w:pPr>
        <w:jc w:val="both"/>
        <w:rPr>
          <w:rFonts w:ascii="Gill Sans MT" w:hAnsi="Gill Sans MT" w:cstheme="minorHAnsi"/>
        </w:rPr>
      </w:pPr>
    </w:p>
    <w:p w14:paraId="26DA7F05" w14:textId="77777777" w:rsidR="00E920CB" w:rsidRDefault="00E920CB" w:rsidP="00E920CB">
      <w:pPr>
        <w:jc w:val="both"/>
        <w:rPr>
          <w:rFonts w:ascii="Gill Sans MT" w:hAnsi="Gill Sans MT" w:cstheme="minorHAnsi"/>
          <w:b/>
        </w:rPr>
      </w:pPr>
      <w:r w:rsidRPr="006D30D0">
        <w:rPr>
          <w:rFonts w:ascii="Gill Sans MT" w:hAnsi="Gill Sans MT" w:cstheme="minorHAnsi"/>
          <w:b/>
        </w:rPr>
        <w:t xml:space="preserve">Annexe A: </w:t>
      </w:r>
      <w:r>
        <w:rPr>
          <w:rFonts w:ascii="Gill Sans MT" w:hAnsi="Gill Sans MT" w:cstheme="minorHAnsi"/>
          <w:b/>
        </w:rPr>
        <w:t>Total reach</w:t>
      </w:r>
    </w:p>
    <w:p w14:paraId="2747A3C8" w14:textId="77777777" w:rsidR="00E920CB" w:rsidRPr="006D30D0" w:rsidRDefault="00E920CB" w:rsidP="00E920CB">
      <w:pPr>
        <w:jc w:val="both"/>
        <w:rPr>
          <w:rFonts w:ascii="Gill Sans MT" w:hAnsi="Gill Sans MT" w:cstheme="minorHAnsi"/>
          <w:b/>
        </w:rPr>
      </w:pPr>
      <w:r>
        <w:rPr>
          <w:rFonts w:ascii="Gill Sans MT" w:hAnsi="Gill Sans MT" w:cstheme="minorHAnsi"/>
          <w:b/>
        </w:rPr>
        <w:t>Annexe B</w:t>
      </w:r>
      <w:r w:rsidRPr="006D30D0">
        <w:rPr>
          <w:rFonts w:ascii="Gill Sans MT" w:hAnsi="Gill Sans MT" w:cstheme="minorHAnsi"/>
          <w:b/>
        </w:rPr>
        <w:t xml:space="preserve">: </w:t>
      </w:r>
      <w:r>
        <w:rPr>
          <w:rFonts w:ascii="Gill Sans MT" w:hAnsi="Gill Sans MT" w:cstheme="minorHAnsi"/>
          <w:b/>
        </w:rPr>
        <w:t>Global Indicators</w:t>
      </w:r>
      <w:r w:rsidRPr="006D30D0">
        <w:rPr>
          <w:rFonts w:ascii="Gill Sans MT" w:hAnsi="Gill Sans MT" w:cstheme="minorHAnsi"/>
          <w:b/>
        </w:rPr>
        <w:t xml:space="preserve"> </w:t>
      </w:r>
    </w:p>
    <w:p w14:paraId="0262F5A5" w14:textId="77777777" w:rsidR="00E920CB" w:rsidRPr="006D30D0" w:rsidRDefault="00E920CB" w:rsidP="00E920CB">
      <w:pPr>
        <w:jc w:val="both"/>
        <w:rPr>
          <w:rFonts w:ascii="Gill Sans MT" w:hAnsi="Gill Sans MT" w:cstheme="minorHAnsi"/>
          <w:b/>
        </w:rPr>
      </w:pPr>
      <w:r>
        <w:rPr>
          <w:rFonts w:ascii="Gill Sans MT" w:hAnsi="Gill Sans MT" w:cstheme="minorHAnsi"/>
          <w:b/>
        </w:rPr>
        <w:t>Annexe C</w:t>
      </w:r>
      <w:r w:rsidRPr="006D30D0">
        <w:rPr>
          <w:rFonts w:ascii="Gill Sans MT" w:hAnsi="Gill Sans MT" w:cstheme="minorHAnsi"/>
          <w:b/>
        </w:rPr>
        <w:t xml:space="preserve">: </w:t>
      </w:r>
      <w:r>
        <w:rPr>
          <w:rFonts w:ascii="Gill Sans MT" w:hAnsi="Gill Sans MT" w:cstheme="minorHAnsi"/>
          <w:b/>
        </w:rPr>
        <w:t xml:space="preserve">Advocacy </w:t>
      </w:r>
      <w:r w:rsidR="0045247D">
        <w:rPr>
          <w:rFonts w:ascii="Gill Sans MT" w:hAnsi="Gill Sans MT" w:cstheme="minorHAnsi"/>
          <w:b/>
        </w:rPr>
        <w:t>Monitoring</w:t>
      </w:r>
      <w:r>
        <w:rPr>
          <w:rFonts w:ascii="Gill Sans MT" w:hAnsi="Gill Sans MT" w:cstheme="minorHAnsi"/>
          <w:b/>
        </w:rPr>
        <w:t xml:space="preserve"> Tool</w:t>
      </w:r>
      <w:r w:rsidRPr="006D30D0">
        <w:rPr>
          <w:rFonts w:ascii="Gill Sans MT" w:hAnsi="Gill Sans MT" w:cstheme="minorHAnsi"/>
          <w:b/>
        </w:rPr>
        <w:t xml:space="preserve"> </w:t>
      </w:r>
    </w:p>
    <w:p w14:paraId="29766115" w14:textId="77777777" w:rsidR="00E920CB" w:rsidRDefault="00E920CB" w:rsidP="00E920CB">
      <w:pPr>
        <w:jc w:val="both"/>
        <w:rPr>
          <w:rFonts w:ascii="Gill Sans MT" w:hAnsi="Gill Sans MT" w:cstheme="minorHAnsi"/>
          <w:b/>
        </w:rPr>
      </w:pPr>
      <w:r w:rsidRPr="006D30D0">
        <w:rPr>
          <w:rFonts w:ascii="Gill Sans MT" w:hAnsi="Gill Sans MT" w:cstheme="minorHAnsi"/>
          <w:b/>
        </w:rPr>
        <w:t xml:space="preserve">Annexe </w:t>
      </w:r>
      <w:r>
        <w:rPr>
          <w:rFonts w:ascii="Gill Sans MT" w:hAnsi="Gill Sans MT" w:cstheme="minorHAnsi"/>
          <w:b/>
        </w:rPr>
        <w:t>D</w:t>
      </w:r>
      <w:r w:rsidRPr="006D30D0">
        <w:rPr>
          <w:rFonts w:ascii="Gill Sans MT" w:hAnsi="Gill Sans MT" w:cstheme="minorHAnsi"/>
          <w:b/>
        </w:rPr>
        <w:t xml:space="preserve">: </w:t>
      </w:r>
      <w:r>
        <w:rPr>
          <w:rFonts w:ascii="Gill Sans MT" w:hAnsi="Gill Sans MT" w:cstheme="minorHAnsi"/>
          <w:b/>
        </w:rPr>
        <w:t>Evaluation Overview</w:t>
      </w:r>
    </w:p>
    <w:p w14:paraId="3D772791" w14:textId="77777777" w:rsidR="007671C9" w:rsidRDefault="00E920CB" w:rsidP="00E920CB">
      <w:pPr>
        <w:jc w:val="both"/>
        <w:rPr>
          <w:rFonts w:ascii="Gill Sans MT" w:hAnsi="Gill Sans MT" w:cstheme="minorHAnsi"/>
          <w:b/>
        </w:rPr>
      </w:pPr>
      <w:r>
        <w:rPr>
          <w:rFonts w:ascii="Gill Sans MT" w:hAnsi="Gill Sans MT" w:cstheme="minorHAnsi"/>
          <w:b/>
        </w:rPr>
        <w:t>Annexe E: Case Studies</w:t>
      </w:r>
    </w:p>
    <w:sectPr w:rsidR="007671C9" w:rsidSect="00305126">
      <w:headerReference w:type="default" r:id="rId14"/>
      <w:footerReference w:type="default" r:id="rId15"/>
      <w:pgSz w:w="11906" w:h="16838" w:code="9"/>
      <w:pgMar w:top="1440" w:right="1274"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84074" w14:textId="77777777" w:rsidR="00F6045A" w:rsidRDefault="00F6045A">
      <w:r>
        <w:separator/>
      </w:r>
    </w:p>
  </w:endnote>
  <w:endnote w:type="continuationSeparator" w:id="0">
    <w:p w14:paraId="76972D6E" w14:textId="77777777" w:rsidR="00F6045A" w:rsidRDefault="00F6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417F" w14:textId="77777777" w:rsidR="00D439F7" w:rsidRPr="00610F3F" w:rsidRDefault="00D439F7">
    <w:pPr>
      <w:pStyle w:val="Footer"/>
      <w:rPr>
        <w:rFonts w:ascii="Gill Sans MT" w:hAnsi="Gill Sans MT" w:cstheme="minorHAnsi"/>
      </w:rPr>
    </w:pPr>
    <w:r>
      <w:rPr>
        <w:rFonts w:ascii="Gill Sans MT" w:hAnsi="Gill Sans MT" w:cstheme="minorHAnsi"/>
      </w:rPr>
      <w:t>February 14, 2014</w:t>
    </w:r>
    <w:r w:rsidRPr="00610F3F">
      <w:rPr>
        <w:rFonts w:ascii="Gill Sans MT" w:hAnsi="Gill Sans MT"/>
      </w:rPr>
      <w:tab/>
    </w:r>
    <w:r w:rsidRPr="00610F3F">
      <w:rPr>
        <w:rStyle w:val="PageNumber"/>
        <w:rFonts w:ascii="Gill Sans MT" w:hAnsi="Gill Sans MT" w:cstheme="minorHAnsi"/>
      </w:rPr>
      <w:fldChar w:fldCharType="begin"/>
    </w:r>
    <w:r w:rsidRPr="00610F3F">
      <w:rPr>
        <w:rStyle w:val="PageNumber"/>
        <w:rFonts w:ascii="Gill Sans MT" w:hAnsi="Gill Sans MT" w:cstheme="minorHAnsi"/>
      </w:rPr>
      <w:instrText xml:space="preserve"> PAGE </w:instrText>
    </w:r>
    <w:r w:rsidRPr="00610F3F">
      <w:rPr>
        <w:rStyle w:val="PageNumber"/>
        <w:rFonts w:ascii="Gill Sans MT" w:hAnsi="Gill Sans MT" w:cstheme="minorHAnsi"/>
      </w:rPr>
      <w:fldChar w:fldCharType="separate"/>
    </w:r>
    <w:r w:rsidR="00692CD9">
      <w:rPr>
        <w:rStyle w:val="PageNumber"/>
        <w:rFonts w:ascii="Gill Sans MT" w:hAnsi="Gill Sans MT" w:cstheme="minorHAnsi"/>
        <w:noProof/>
      </w:rPr>
      <w:t>1</w:t>
    </w:r>
    <w:r w:rsidRPr="00610F3F">
      <w:rPr>
        <w:rStyle w:val="PageNumber"/>
        <w:rFonts w:ascii="Gill Sans MT" w:hAnsi="Gill Sans MT"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6B7B" w14:textId="77777777" w:rsidR="00F6045A" w:rsidRDefault="00F6045A">
      <w:r>
        <w:separator/>
      </w:r>
    </w:p>
  </w:footnote>
  <w:footnote w:type="continuationSeparator" w:id="0">
    <w:p w14:paraId="702E2532" w14:textId="77777777" w:rsidR="00F6045A" w:rsidRDefault="00F6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98942" w14:textId="77777777" w:rsidR="00D439F7" w:rsidRDefault="00D439F7" w:rsidP="008E6035">
    <w:pPr>
      <w:pStyle w:val="Header"/>
      <w:jc w:val="right"/>
    </w:pPr>
    <w:r>
      <w:rPr>
        <w:noProof/>
        <w:lang w:val="en-US"/>
      </w:rPr>
      <w:drawing>
        <wp:inline distT="0" distB="0" distL="0" distR="0" wp14:anchorId="118A859B" wp14:editId="0A34569D">
          <wp:extent cx="1733550" cy="342900"/>
          <wp:effectExtent l="0" t="0" r="0" b="0"/>
          <wp:docPr id="1" name="Picture 1"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213"/>
    <w:multiLevelType w:val="hybridMultilevel"/>
    <w:tmpl w:val="6220F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081E91"/>
    <w:multiLevelType w:val="hybridMultilevel"/>
    <w:tmpl w:val="D592E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8E41C54"/>
    <w:multiLevelType w:val="hybridMultilevel"/>
    <w:tmpl w:val="E6607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7A0537"/>
    <w:multiLevelType w:val="hybridMultilevel"/>
    <w:tmpl w:val="4CB4ED08"/>
    <w:lvl w:ilvl="0" w:tplc="08090013">
      <w:start w:val="1"/>
      <w:numFmt w:val="upp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nsid w:val="24A92E7D"/>
    <w:multiLevelType w:val="hybridMultilevel"/>
    <w:tmpl w:val="374CEE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BB63221"/>
    <w:multiLevelType w:val="hybridMultilevel"/>
    <w:tmpl w:val="91F03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307FEC"/>
    <w:multiLevelType w:val="hybridMultilevel"/>
    <w:tmpl w:val="C6A09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AB09BA"/>
    <w:multiLevelType w:val="hybridMultilevel"/>
    <w:tmpl w:val="BA7A7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3C2DB7"/>
    <w:multiLevelType w:val="hybridMultilevel"/>
    <w:tmpl w:val="08CC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706989"/>
    <w:multiLevelType w:val="hybridMultilevel"/>
    <w:tmpl w:val="568C97DA"/>
    <w:lvl w:ilvl="0" w:tplc="837CA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25F7D"/>
    <w:multiLevelType w:val="hybridMultilevel"/>
    <w:tmpl w:val="F9AA7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AD27CE"/>
    <w:multiLevelType w:val="hybridMultilevel"/>
    <w:tmpl w:val="8FF2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141BD7"/>
    <w:multiLevelType w:val="hybridMultilevel"/>
    <w:tmpl w:val="4E06C0E2"/>
    <w:lvl w:ilvl="0" w:tplc="42EA9A7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0"/>
  </w:num>
  <w:num w:numId="4">
    <w:abstractNumId w:val="5"/>
  </w:num>
  <w:num w:numId="5">
    <w:abstractNumId w:val="6"/>
  </w:num>
  <w:num w:numId="6">
    <w:abstractNumId w:val="7"/>
  </w:num>
  <w:num w:numId="7">
    <w:abstractNumId w:val="2"/>
  </w:num>
  <w:num w:numId="8">
    <w:abstractNumId w:val="8"/>
  </w:num>
  <w:num w:numId="9">
    <w:abstractNumId w:val="4"/>
  </w:num>
  <w:num w:numId="10">
    <w:abstractNumId w:val="10"/>
  </w:num>
  <w:num w:numId="11">
    <w:abstractNumId w:val="1"/>
  </w:num>
  <w:num w:numId="12">
    <w:abstractNumId w:val="12"/>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F8"/>
    <w:rsid w:val="00000444"/>
    <w:rsid w:val="000032DB"/>
    <w:rsid w:val="00003DD0"/>
    <w:rsid w:val="00004442"/>
    <w:rsid w:val="000046F4"/>
    <w:rsid w:val="0000609C"/>
    <w:rsid w:val="000063A2"/>
    <w:rsid w:val="000074FB"/>
    <w:rsid w:val="00011291"/>
    <w:rsid w:val="00014695"/>
    <w:rsid w:val="00015EB8"/>
    <w:rsid w:val="000166AA"/>
    <w:rsid w:val="00016FB5"/>
    <w:rsid w:val="000210AD"/>
    <w:rsid w:val="000226A3"/>
    <w:rsid w:val="00022E13"/>
    <w:rsid w:val="000240A3"/>
    <w:rsid w:val="0002488D"/>
    <w:rsid w:val="00026063"/>
    <w:rsid w:val="000300BF"/>
    <w:rsid w:val="00031026"/>
    <w:rsid w:val="0003488F"/>
    <w:rsid w:val="00037581"/>
    <w:rsid w:val="00040D7C"/>
    <w:rsid w:val="0004107B"/>
    <w:rsid w:val="000443B7"/>
    <w:rsid w:val="000450D7"/>
    <w:rsid w:val="00047413"/>
    <w:rsid w:val="0005179D"/>
    <w:rsid w:val="00053C00"/>
    <w:rsid w:val="00053C6D"/>
    <w:rsid w:val="000552AA"/>
    <w:rsid w:val="00055A28"/>
    <w:rsid w:val="000623CB"/>
    <w:rsid w:val="00065384"/>
    <w:rsid w:val="000653FB"/>
    <w:rsid w:val="000654AC"/>
    <w:rsid w:val="000655F4"/>
    <w:rsid w:val="0006594F"/>
    <w:rsid w:val="00066342"/>
    <w:rsid w:val="00066366"/>
    <w:rsid w:val="00070035"/>
    <w:rsid w:val="00070265"/>
    <w:rsid w:val="000706E6"/>
    <w:rsid w:val="00070B32"/>
    <w:rsid w:val="00070D9F"/>
    <w:rsid w:val="00071012"/>
    <w:rsid w:val="0007140E"/>
    <w:rsid w:val="0007268B"/>
    <w:rsid w:val="00074ACF"/>
    <w:rsid w:val="0007528E"/>
    <w:rsid w:val="000809A4"/>
    <w:rsid w:val="00082A75"/>
    <w:rsid w:val="00082DB5"/>
    <w:rsid w:val="00084A69"/>
    <w:rsid w:val="00095603"/>
    <w:rsid w:val="000A00DA"/>
    <w:rsid w:val="000A311C"/>
    <w:rsid w:val="000A777E"/>
    <w:rsid w:val="000A7862"/>
    <w:rsid w:val="000B1664"/>
    <w:rsid w:val="000B72B4"/>
    <w:rsid w:val="000C2ACF"/>
    <w:rsid w:val="000C4513"/>
    <w:rsid w:val="000D188A"/>
    <w:rsid w:val="000D1A4E"/>
    <w:rsid w:val="000D2A4F"/>
    <w:rsid w:val="000D5057"/>
    <w:rsid w:val="000D61E2"/>
    <w:rsid w:val="000D7AF3"/>
    <w:rsid w:val="000E002D"/>
    <w:rsid w:val="000E0F41"/>
    <w:rsid w:val="000E5725"/>
    <w:rsid w:val="000E661C"/>
    <w:rsid w:val="000E78EE"/>
    <w:rsid w:val="000F079A"/>
    <w:rsid w:val="000F0A72"/>
    <w:rsid w:val="000F0CE0"/>
    <w:rsid w:val="000F3454"/>
    <w:rsid w:val="000F370D"/>
    <w:rsid w:val="000F6679"/>
    <w:rsid w:val="000F6F93"/>
    <w:rsid w:val="001034AE"/>
    <w:rsid w:val="00103DF9"/>
    <w:rsid w:val="001044E1"/>
    <w:rsid w:val="00104A9B"/>
    <w:rsid w:val="00105666"/>
    <w:rsid w:val="00110830"/>
    <w:rsid w:val="001112FC"/>
    <w:rsid w:val="0011246F"/>
    <w:rsid w:val="00112534"/>
    <w:rsid w:val="00112E56"/>
    <w:rsid w:val="00114B54"/>
    <w:rsid w:val="0012315B"/>
    <w:rsid w:val="00140882"/>
    <w:rsid w:val="001411F4"/>
    <w:rsid w:val="001414D4"/>
    <w:rsid w:val="0014198C"/>
    <w:rsid w:val="001440C8"/>
    <w:rsid w:val="00151760"/>
    <w:rsid w:val="00151D99"/>
    <w:rsid w:val="00160A2F"/>
    <w:rsid w:val="00160A78"/>
    <w:rsid w:val="00160BC3"/>
    <w:rsid w:val="00162562"/>
    <w:rsid w:val="001625FB"/>
    <w:rsid w:val="001649E4"/>
    <w:rsid w:val="001659E1"/>
    <w:rsid w:val="00175DB2"/>
    <w:rsid w:val="00176244"/>
    <w:rsid w:val="00180C6E"/>
    <w:rsid w:val="0018483E"/>
    <w:rsid w:val="00186F86"/>
    <w:rsid w:val="00190E1C"/>
    <w:rsid w:val="001911B2"/>
    <w:rsid w:val="00193969"/>
    <w:rsid w:val="00196110"/>
    <w:rsid w:val="001975F5"/>
    <w:rsid w:val="001A0A8B"/>
    <w:rsid w:val="001A17BB"/>
    <w:rsid w:val="001A31A0"/>
    <w:rsid w:val="001A458B"/>
    <w:rsid w:val="001A537C"/>
    <w:rsid w:val="001A58E6"/>
    <w:rsid w:val="001A7143"/>
    <w:rsid w:val="001A7DE4"/>
    <w:rsid w:val="001B20BB"/>
    <w:rsid w:val="001B213F"/>
    <w:rsid w:val="001B3566"/>
    <w:rsid w:val="001B4B3E"/>
    <w:rsid w:val="001B69C8"/>
    <w:rsid w:val="001B7579"/>
    <w:rsid w:val="001C30D7"/>
    <w:rsid w:val="001C541B"/>
    <w:rsid w:val="001C66C2"/>
    <w:rsid w:val="001D0895"/>
    <w:rsid w:val="001D09EE"/>
    <w:rsid w:val="001D4B3C"/>
    <w:rsid w:val="001D59AD"/>
    <w:rsid w:val="001D6564"/>
    <w:rsid w:val="001D68F7"/>
    <w:rsid w:val="001E7A0A"/>
    <w:rsid w:val="001F20FF"/>
    <w:rsid w:val="001F3CEB"/>
    <w:rsid w:val="001F4638"/>
    <w:rsid w:val="001F5D82"/>
    <w:rsid w:val="00200A02"/>
    <w:rsid w:val="002019B3"/>
    <w:rsid w:val="00204A7B"/>
    <w:rsid w:val="002101AE"/>
    <w:rsid w:val="00211CF4"/>
    <w:rsid w:val="00212012"/>
    <w:rsid w:val="0021263E"/>
    <w:rsid w:val="00212D42"/>
    <w:rsid w:val="0021434A"/>
    <w:rsid w:val="00214F7D"/>
    <w:rsid w:val="00220537"/>
    <w:rsid w:val="002237DA"/>
    <w:rsid w:val="0022448C"/>
    <w:rsid w:val="002329B9"/>
    <w:rsid w:val="00232C78"/>
    <w:rsid w:val="00233519"/>
    <w:rsid w:val="002343CD"/>
    <w:rsid w:val="00241CCB"/>
    <w:rsid w:val="00243D2A"/>
    <w:rsid w:val="00247019"/>
    <w:rsid w:val="00247BD9"/>
    <w:rsid w:val="00251391"/>
    <w:rsid w:val="00251610"/>
    <w:rsid w:val="00255918"/>
    <w:rsid w:val="00255FB4"/>
    <w:rsid w:val="002603D5"/>
    <w:rsid w:val="00260D74"/>
    <w:rsid w:val="00265719"/>
    <w:rsid w:val="00265C8E"/>
    <w:rsid w:val="00266C6F"/>
    <w:rsid w:val="0027186F"/>
    <w:rsid w:val="00273BD3"/>
    <w:rsid w:val="00274EA3"/>
    <w:rsid w:val="002763F9"/>
    <w:rsid w:val="0027676A"/>
    <w:rsid w:val="00277ECF"/>
    <w:rsid w:val="002802FB"/>
    <w:rsid w:val="00281F92"/>
    <w:rsid w:val="002847DB"/>
    <w:rsid w:val="00285ADC"/>
    <w:rsid w:val="00287A9A"/>
    <w:rsid w:val="002907E8"/>
    <w:rsid w:val="00290A15"/>
    <w:rsid w:val="00292653"/>
    <w:rsid w:val="00292964"/>
    <w:rsid w:val="00296BAB"/>
    <w:rsid w:val="002A11A0"/>
    <w:rsid w:val="002A220F"/>
    <w:rsid w:val="002A76D4"/>
    <w:rsid w:val="002B209E"/>
    <w:rsid w:val="002B49F3"/>
    <w:rsid w:val="002B5CE8"/>
    <w:rsid w:val="002C4EE4"/>
    <w:rsid w:val="002C4FF1"/>
    <w:rsid w:val="002C75EE"/>
    <w:rsid w:val="002D1D26"/>
    <w:rsid w:val="002D21C2"/>
    <w:rsid w:val="002D223E"/>
    <w:rsid w:val="002D5D8D"/>
    <w:rsid w:val="002D7652"/>
    <w:rsid w:val="002E3D3E"/>
    <w:rsid w:val="002E4C0E"/>
    <w:rsid w:val="002E66CB"/>
    <w:rsid w:val="002E7B37"/>
    <w:rsid w:val="002F0DBC"/>
    <w:rsid w:val="002F1EF0"/>
    <w:rsid w:val="00300A28"/>
    <w:rsid w:val="00300D65"/>
    <w:rsid w:val="003040E4"/>
    <w:rsid w:val="00304B0F"/>
    <w:rsid w:val="00304D4C"/>
    <w:rsid w:val="00305126"/>
    <w:rsid w:val="00307FDA"/>
    <w:rsid w:val="00311CD4"/>
    <w:rsid w:val="00312DF6"/>
    <w:rsid w:val="00314DB2"/>
    <w:rsid w:val="003200D6"/>
    <w:rsid w:val="00321C3B"/>
    <w:rsid w:val="00321F50"/>
    <w:rsid w:val="00325019"/>
    <w:rsid w:val="00327BC1"/>
    <w:rsid w:val="003331E2"/>
    <w:rsid w:val="00333573"/>
    <w:rsid w:val="00333B0B"/>
    <w:rsid w:val="003356B5"/>
    <w:rsid w:val="003359FD"/>
    <w:rsid w:val="003369A5"/>
    <w:rsid w:val="00336F0F"/>
    <w:rsid w:val="00337BEB"/>
    <w:rsid w:val="00340CE9"/>
    <w:rsid w:val="0034393F"/>
    <w:rsid w:val="0034515E"/>
    <w:rsid w:val="003477FD"/>
    <w:rsid w:val="00350962"/>
    <w:rsid w:val="00354440"/>
    <w:rsid w:val="0035616D"/>
    <w:rsid w:val="00357EE2"/>
    <w:rsid w:val="00363C93"/>
    <w:rsid w:val="003656EA"/>
    <w:rsid w:val="00365D37"/>
    <w:rsid w:val="00366BCD"/>
    <w:rsid w:val="0036770B"/>
    <w:rsid w:val="00372A4B"/>
    <w:rsid w:val="00373CFA"/>
    <w:rsid w:val="00375813"/>
    <w:rsid w:val="00377168"/>
    <w:rsid w:val="0038188B"/>
    <w:rsid w:val="00382898"/>
    <w:rsid w:val="00384D52"/>
    <w:rsid w:val="00386415"/>
    <w:rsid w:val="00390B30"/>
    <w:rsid w:val="00393601"/>
    <w:rsid w:val="003A0A7E"/>
    <w:rsid w:val="003A1618"/>
    <w:rsid w:val="003A4E8B"/>
    <w:rsid w:val="003B104E"/>
    <w:rsid w:val="003B3AE5"/>
    <w:rsid w:val="003C3257"/>
    <w:rsid w:val="003C5222"/>
    <w:rsid w:val="003C58BB"/>
    <w:rsid w:val="003D0564"/>
    <w:rsid w:val="003D1B8A"/>
    <w:rsid w:val="003E2CE4"/>
    <w:rsid w:val="003E310B"/>
    <w:rsid w:val="003E3AE0"/>
    <w:rsid w:val="003E4687"/>
    <w:rsid w:val="003E535F"/>
    <w:rsid w:val="003E6109"/>
    <w:rsid w:val="003F1AC4"/>
    <w:rsid w:val="003F31BA"/>
    <w:rsid w:val="003F45E3"/>
    <w:rsid w:val="003F6AC4"/>
    <w:rsid w:val="004001E8"/>
    <w:rsid w:val="00400603"/>
    <w:rsid w:val="00412E31"/>
    <w:rsid w:val="004253CA"/>
    <w:rsid w:val="00426405"/>
    <w:rsid w:val="004273CD"/>
    <w:rsid w:val="00427D78"/>
    <w:rsid w:val="004311B4"/>
    <w:rsid w:val="00431BBC"/>
    <w:rsid w:val="00431D07"/>
    <w:rsid w:val="00432881"/>
    <w:rsid w:val="004328D0"/>
    <w:rsid w:val="0043540C"/>
    <w:rsid w:val="004359AC"/>
    <w:rsid w:val="00437C2D"/>
    <w:rsid w:val="00437E6E"/>
    <w:rsid w:val="0044011E"/>
    <w:rsid w:val="00440C2C"/>
    <w:rsid w:val="00444796"/>
    <w:rsid w:val="00447E06"/>
    <w:rsid w:val="004515ED"/>
    <w:rsid w:val="0045247D"/>
    <w:rsid w:val="00455C67"/>
    <w:rsid w:val="00456EE6"/>
    <w:rsid w:val="00457129"/>
    <w:rsid w:val="00463D70"/>
    <w:rsid w:val="004729C9"/>
    <w:rsid w:val="004736C4"/>
    <w:rsid w:val="00473958"/>
    <w:rsid w:val="00473F54"/>
    <w:rsid w:val="004756D9"/>
    <w:rsid w:val="00475CD5"/>
    <w:rsid w:val="00476209"/>
    <w:rsid w:val="00477187"/>
    <w:rsid w:val="00481B68"/>
    <w:rsid w:val="00484BDF"/>
    <w:rsid w:val="00484C88"/>
    <w:rsid w:val="00491635"/>
    <w:rsid w:val="00493891"/>
    <w:rsid w:val="00496437"/>
    <w:rsid w:val="00497347"/>
    <w:rsid w:val="004A2223"/>
    <w:rsid w:val="004A78C4"/>
    <w:rsid w:val="004B2742"/>
    <w:rsid w:val="004B3386"/>
    <w:rsid w:val="004C2BE1"/>
    <w:rsid w:val="004C453C"/>
    <w:rsid w:val="004C6BFA"/>
    <w:rsid w:val="004D2AE2"/>
    <w:rsid w:val="004D2C52"/>
    <w:rsid w:val="004D2D61"/>
    <w:rsid w:val="004E03AD"/>
    <w:rsid w:val="004E780F"/>
    <w:rsid w:val="004F1F55"/>
    <w:rsid w:val="004F2E31"/>
    <w:rsid w:val="004F6435"/>
    <w:rsid w:val="004F6E4B"/>
    <w:rsid w:val="004F7A72"/>
    <w:rsid w:val="0050069F"/>
    <w:rsid w:val="005017C8"/>
    <w:rsid w:val="00504105"/>
    <w:rsid w:val="00504D6C"/>
    <w:rsid w:val="00504F93"/>
    <w:rsid w:val="00510725"/>
    <w:rsid w:val="0051370A"/>
    <w:rsid w:val="00513FD7"/>
    <w:rsid w:val="00515300"/>
    <w:rsid w:val="00517D37"/>
    <w:rsid w:val="00521B5B"/>
    <w:rsid w:val="005302D2"/>
    <w:rsid w:val="005317CB"/>
    <w:rsid w:val="005361AF"/>
    <w:rsid w:val="00537762"/>
    <w:rsid w:val="00540170"/>
    <w:rsid w:val="00541A36"/>
    <w:rsid w:val="005475A4"/>
    <w:rsid w:val="00547BA7"/>
    <w:rsid w:val="00550146"/>
    <w:rsid w:val="00554ED4"/>
    <w:rsid w:val="00555D81"/>
    <w:rsid w:val="00556261"/>
    <w:rsid w:val="00562651"/>
    <w:rsid w:val="005734A6"/>
    <w:rsid w:val="00574162"/>
    <w:rsid w:val="00575772"/>
    <w:rsid w:val="005779BB"/>
    <w:rsid w:val="00577C46"/>
    <w:rsid w:val="0058082C"/>
    <w:rsid w:val="00583E20"/>
    <w:rsid w:val="00590897"/>
    <w:rsid w:val="005908D3"/>
    <w:rsid w:val="005912F3"/>
    <w:rsid w:val="005948B3"/>
    <w:rsid w:val="00596A73"/>
    <w:rsid w:val="005A1435"/>
    <w:rsid w:val="005A1550"/>
    <w:rsid w:val="005A2429"/>
    <w:rsid w:val="005A2B8C"/>
    <w:rsid w:val="005A2C1C"/>
    <w:rsid w:val="005A6E5B"/>
    <w:rsid w:val="005A75F7"/>
    <w:rsid w:val="005A77D6"/>
    <w:rsid w:val="005B4805"/>
    <w:rsid w:val="005B6833"/>
    <w:rsid w:val="005B7452"/>
    <w:rsid w:val="005D2651"/>
    <w:rsid w:val="005D26F2"/>
    <w:rsid w:val="005D2948"/>
    <w:rsid w:val="005D3AB2"/>
    <w:rsid w:val="005D47EE"/>
    <w:rsid w:val="005D6255"/>
    <w:rsid w:val="005D6E0D"/>
    <w:rsid w:val="005E0C69"/>
    <w:rsid w:val="005E0EA6"/>
    <w:rsid w:val="005E111C"/>
    <w:rsid w:val="005E3552"/>
    <w:rsid w:val="005E57A7"/>
    <w:rsid w:val="005E5ED0"/>
    <w:rsid w:val="005F092A"/>
    <w:rsid w:val="005F466E"/>
    <w:rsid w:val="005F599D"/>
    <w:rsid w:val="00600F2A"/>
    <w:rsid w:val="00606053"/>
    <w:rsid w:val="00606863"/>
    <w:rsid w:val="006108D5"/>
    <w:rsid w:val="00610F3F"/>
    <w:rsid w:val="006121F6"/>
    <w:rsid w:val="006123A1"/>
    <w:rsid w:val="00613DEE"/>
    <w:rsid w:val="00614A47"/>
    <w:rsid w:val="0061658B"/>
    <w:rsid w:val="00616D6D"/>
    <w:rsid w:val="006206EF"/>
    <w:rsid w:val="0062248D"/>
    <w:rsid w:val="006259D9"/>
    <w:rsid w:val="00625E35"/>
    <w:rsid w:val="006269F9"/>
    <w:rsid w:val="006303DA"/>
    <w:rsid w:val="006304AC"/>
    <w:rsid w:val="00634FC9"/>
    <w:rsid w:val="00635E4A"/>
    <w:rsid w:val="00640167"/>
    <w:rsid w:val="00640AE9"/>
    <w:rsid w:val="006437EF"/>
    <w:rsid w:val="00644133"/>
    <w:rsid w:val="00651974"/>
    <w:rsid w:val="006562B7"/>
    <w:rsid w:val="00661135"/>
    <w:rsid w:val="006619CF"/>
    <w:rsid w:val="00661A6F"/>
    <w:rsid w:val="006639CC"/>
    <w:rsid w:val="00664BB9"/>
    <w:rsid w:val="00673063"/>
    <w:rsid w:val="00673D78"/>
    <w:rsid w:val="00675C16"/>
    <w:rsid w:val="006762C1"/>
    <w:rsid w:val="006820EB"/>
    <w:rsid w:val="006822D9"/>
    <w:rsid w:val="00684D45"/>
    <w:rsid w:val="00686905"/>
    <w:rsid w:val="006900B7"/>
    <w:rsid w:val="00692CD9"/>
    <w:rsid w:val="006930B9"/>
    <w:rsid w:val="00694F06"/>
    <w:rsid w:val="006951DC"/>
    <w:rsid w:val="006A114E"/>
    <w:rsid w:val="006A1880"/>
    <w:rsid w:val="006A1F5B"/>
    <w:rsid w:val="006A2987"/>
    <w:rsid w:val="006A3CBE"/>
    <w:rsid w:val="006B08C2"/>
    <w:rsid w:val="006B240E"/>
    <w:rsid w:val="006B4FBB"/>
    <w:rsid w:val="006B7AA1"/>
    <w:rsid w:val="006B7FE8"/>
    <w:rsid w:val="006D30D0"/>
    <w:rsid w:val="006D505A"/>
    <w:rsid w:val="006E2A5C"/>
    <w:rsid w:val="006E5766"/>
    <w:rsid w:val="006E64F3"/>
    <w:rsid w:val="006E6B7A"/>
    <w:rsid w:val="006E7770"/>
    <w:rsid w:val="006F0309"/>
    <w:rsid w:val="006F0F84"/>
    <w:rsid w:val="006F5E4F"/>
    <w:rsid w:val="006F65FF"/>
    <w:rsid w:val="006F6B5B"/>
    <w:rsid w:val="006F7E7C"/>
    <w:rsid w:val="00701D78"/>
    <w:rsid w:val="00702351"/>
    <w:rsid w:val="00706C2D"/>
    <w:rsid w:val="007129D2"/>
    <w:rsid w:val="00713038"/>
    <w:rsid w:val="0071475E"/>
    <w:rsid w:val="007175FA"/>
    <w:rsid w:val="007176A4"/>
    <w:rsid w:val="00727E1E"/>
    <w:rsid w:val="00732ABF"/>
    <w:rsid w:val="007346F0"/>
    <w:rsid w:val="00735807"/>
    <w:rsid w:val="00735A63"/>
    <w:rsid w:val="007416A8"/>
    <w:rsid w:val="007418D2"/>
    <w:rsid w:val="007420EA"/>
    <w:rsid w:val="007462BF"/>
    <w:rsid w:val="007479E8"/>
    <w:rsid w:val="00747A99"/>
    <w:rsid w:val="007504BF"/>
    <w:rsid w:val="007506B1"/>
    <w:rsid w:val="00751A71"/>
    <w:rsid w:val="00753BF2"/>
    <w:rsid w:val="00756A19"/>
    <w:rsid w:val="00756FB8"/>
    <w:rsid w:val="00757845"/>
    <w:rsid w:val="007603F0"/>
    <w:rsid w:val="007645A8"/>
    <w:rsid w:val="007648EC"/>
    <w:rsid w:val="00765C03"/>
    <w:rsid w:val="00765C10"/>
    <w:rsid w:val="007671C9"/>
    <w:rsid w:val="0076753B"/>
    <w:rsid w:val="007679B6"/>
    <w:rsid w:val="007773AB"/>
    <w:rsid w:val="00780241"/>
    <w:rsid w:val="00780743"/>
    <w:rsid w:val="00781AC0"/>
    <w:rsid w:val="007823DA"/>
    <w:rsid w:val="00782637"/>
    <w:rsid w:val="00782ED9"/>
    <w:rsid w:val="00783B76"/>
    <w:rsid w:val="00785394"/>
    <w:rsid w:val="00787CA4"/>
    <w:rsid w:val="007940E6"/>
    <w:rsid w:val="007949C9"/>
    <w:rsid w:val="00796E92"/>
    <w:rsid w:val="0079734F"/>
    <w:rsid w:val="007A1390"/>
    <w:rsid w:val="007A1BE1"/>
    <w:rsid w:val="007A3C12"/>
    <w:rsid w:val="007A3FD8"/>
    <w:rsid w:val="007A758F"/>
    <w:rsid w:val="007B105E"/>
    <w:rsid w:val="007B1E44"/>
    <w:rsid w:val="007B57C2"/>
    <w:rsid w:val="007C308B"/>
    <w:rsid w:val="007C4061"/>
    <w:rsid w:val="007C51E7"/>
    <w:rsid w:val="007C5701"/>
    <w:rsid w:val="007C58C7"/>
    <w:rsid w:val="007D4A0F"/>
    <w:rsid w:val="007D5E95"/>
    <w:rsid w:val="007D61A1"/>
    <w:rsid w:val="007D6544"/>
    <w:rsid w:val="007D7463"/>
    <w:rsid w:val="007D777B"/>
    <w:rsid w:val="007D7987"/>
    <w:rsid w:val="007E1878"/>
    <w:rsid w:val="007E2C8B"/>
    <w:rsid w:val="007E4065"/>
    <w:rsid w:val="008006E9"/>
    <w:rsid w:val="0080104B"/>
    <w:rsid w:val="0080133F"/>
    <w:rsid w:val="00801582"/>
    <w:rsid w:val="008035D2"/>
    <w:rsid w:val="00805057"/>
    <w:rsid w:val="00805AE0"/>
    <w:rsid w:val="008067F7"/>
    <w:rsid w:val="008127EB"/>
    <w:rsid w:val="00812A6C"/>
    <w:rsid w:val="00813DB2"/>
    <w:rsid w:val="00814033"/>
    <w:rsid w:val="008150F2"/>
    <w:rsid w:val="0082102B"/>
    <w:rsid w:val="008212A6"/>
    <w:rsid w:val="0082483D"/>
    <w:rsid w:val="00824F6D"/>
    <w:rsid w:val="0082508D"/>
    <w:rsid w:val="00834237"/>
    <w:rsid w:val="0083617E"/>
    <w:rsid w:val="008365A6"/>
    <w:rsid w:val="00836603"/>
    <w:rsid w:val="00836A9B"/>
    <w:rsid w:val="008416B8"/>
    <w:rsid w:val="00842CBB"/>
    <w:rsid w:val="008434BE"/>
    <w:rsid w:val="0085051C"/>
    <w:rsid w:val="00851205"/>
    <w:rsid w:val="008517E9"/>
    <w:rsid w:val="008528F7"/>
    <w:rsid w:val="00853852"/>
    <w:rsid w:val="008547CA"/>
    <w:rsid w:val="00855FA7"/>
    <w:rsid w:val="0085654C"/>
    <w:rsid w:val="00856FFB"/>
    <w:rsid w:val="00862DB8"/>
    <w:rsid w:val="008645B1"/>
    <w:rsid w:val="00870E70"/>
    <w:rsid w:val="0087150E"/>
    <w:rsid w:val="00873293"/>
    <w:rsid w:val="008745F8"/>
    <w:rsid w:val="008750F5"/>
    <w:rsid w:val="00875294"/>
    <w:rsid w:val="00876863"/>
    <w:rsid w:val="00877FD6"/>
    <w:rsid w:val="00884DFF"/>
    <w:rsid w:val="0088521D"/>
    <w:rsid w:val="00886B52"/>
    <w:rsid w:val="00887A5C"/>
    <w:rsid w:val="00891446"/>
    <w:rsid w:val="00891DF0"/>
    <w:rsid w:val="00893191"/>
    <w:rsid w:val="008933EA"/>
    <w:rsid w:val="00894B0A"/>
    <w:rsid w:val="008A02F2"/>
    <w:rsid w:val="008A0921"/>
    <w:rsid w:val="008B073C"/>
    <w:rsid w:val="008B3FD9"/>
    <w:rsid w:val="008B4522"/>
    <w:rsid w:val="008B7DFA"/>
    <w:rsid w:val="008C1484"/>
    <w:rsid w:val="008C1958"/>
    <w:rsid w:val="008C1B76"/>
    <w:rsid w:val="008C218A"/>
    <w:rsid w:val="008C2B41"/>
    <w:rsid w:val="008D02FA"/>
    <w:rsid w:val="008D14D9"/>
    <w:rsid w:val="008D2F5A"/>
    <w:rsid w:val="008E1E88"/>
    <w:rsid w:val="008E4684"/>
    <w:rsid w:val="008E6035"/>
    <w:rsid w:val="008E6ABC"/>
    <w:rsid w:val="008F08A0"/>
    <w:rsid w:val="008F101F"/>
    <w:rsid w:val="008F3EA2"/>
    <w:rsid w:val="008F5280"/>
    <w:rsid w:val="008F6EA5"/>
    <w:rsid w:val="00900CB4"/>
    <w:rsid w:val="0090341D"/>
    <w:rsid w:val="00910890"/>
    <w:rsid w:val="00913ABC"/>
    <w:rsid w:val="00913CB4"/>
    <w:rsid w:val="00915798"/>
    <w:rsid w:val="00917030"/>
    <w:rsid w:val="00917789"/>
    <w:rsid w:val="0092257B"/>
    <w:rsid w:val="0092379F"/>
    <w:rsid w:val="009250E4"/>
    <w:rsid w:val="009251E7"/>
    <w:rsid w:val="00930889"/>
    <w:rsid w:val="00933B82"/>
    <w:rsid w:val="0093484D"/>
    <w:rsid w:val="009361F0"/>
    <w:rsid w:val="009363FD"/>
    <w:rsid w:val="0094556E"/>
    <w:rsid w:val="00947E02"/>
    <w:rsid w:val="009509E3"/>
    <w:rsid w:val="0095778F"/>
    <w:rsid w:val="00960B49"/>
    <w:rsid w:val="00962313"/>
    <w:rsid w:val="0096241E"/>
    <w:rsid w:val="009663C7"/>
    <w:rsid w:val="00970096"/>
    <w:rsid w:val="009703A8"/>
    <w:rsid w:val="00971071"/>
    <w:rsid w:val="00971928"/>
    <w:rsid w:val="009739D6"/>
    <w:rsid w:val="00973FD3"/>
    <w:rsid w:val="009837C3"/>
    <w:rsid w:val="009921A5"/>
    <w:rsid w:val="00993EF6"/>
    <w:rsid w:val="00994080"/>
    <w:rsid w:val="00994D94"/>
    <w:rsid w:val="00994E18"/>
    <w:rsid w:val="009A0EAE"/>
    <w:rsid w:val="009A53D4"/>
    <w:rsid w:val="009B1529"/>
    <w:rsid w:val="009B1B41"/>
    <w:rsid w:val="009B1EF8"/>
    <w:rsid w:val="009B2724"/>
    <w:rsid w:val="009B2EEF"/>
    <w:rsid w:val="009B3077"/>
    <w:rsid w:val="009B34F7"/>
    <w:rsid w:val="009B62FC"/>
    <w:rsid w:val="009B6B0A"/>
    <w:rsid w:val="009B7904"/>
    <w:rsid w:val="009B7982"/>
    <w:rsid w:val="009C5523"/>
    <w:rsid w:val="009C57D2"/>
    <w:rsid w:val="009C632A"/>
    <w:rsid w:val="009C6A50"/>
    <w:rsid w:val="009D0023"/>
    <w:rsid w:val="009D21D1"/>
    <w:rsid w:val="009D6988"/>
    <w:rsid w:val="009D6DFE"/>
    <w:rsid w:val="009D7B1F"/>
    <w:rsid w:val="009E2C90"/>
    <w:rsid w:val="009E39B0"/>
    <w:rsid w:val="009E67CE"/>
    <w:rsid w:val="009F26D6"/>
    <w:rsid w:val="009F2843"/>
    <w:rsid w:val="009F2FAC"/>
    <w:rsid w:val="009F4090"/>
    <w:rsid w:val="00A008A5"/>
    <w:rsid w:val="00A02164"/>
    <w:rsid w:val="00A0227C"/>
    <w:rsid w:val="00A02E74"/>
    <w:rsid w:val="00A03793"/>
    <w:rsid w:val="00A06BD9"/>
    <w:rsid w:val="00A131E2"/>
    <w:rsid w:val="00A153DF"/>
    <w:rsid w:val="00A1771A"/>
    <w:rsid w:val="00A205DB"/>
    <w:rsid w:val="00A250B1"/>
    <w:rsid w:val="00A268F4"/>
    <w:rsid w:val="00A278E1"/>
    <w:rsid w:val="00A30BD0"/>
    <w:rsid w:val="00A30E94"/>
    <w:rsid w:val="00A31B69"/>
    <w:rsid w:val="00A325D2"/>
    <w:rsid w:val="00A3280D"/>
    <w:rsid w:val="00A357F5"/>
    <w:rsid w:val="00A37006"/>
    <w:rsid w:val="00A375C8"/>
    <w:rsid w:val="00A433BC"/>
    <w:rsid w:val="00A43881"/>
    <w:rsid w:val="00A43E39"/>
    <w:rsid w:val="00A447F1"/>
    <w:rsid w:val="00A45469"/>
    <w:rsid w:val="00A46DF1"/>
    <w:rsid w:val="00A47FBC"/>
    <w:rsid w:val="00A51C40"/>
    <w:rsid w:val="00A524AF"/>
    <w:rsid w:val="00A55436"/>
    <w:rsid w:val="00A57A2F"/>
    <w:rsid w:val="00A608CB"/>
    <w:rsid w:val="00A6394E"/>
    <w:rsid w:val="00A643DB"/>
    <w:rsid w:val="00A64912"/>
    <w:rsid w:val="00A65683"/>
    <w:rsid w:val="00A66EDC"/>
    <w:rsid w:val="00A6786D"/>
    <w:rsid w:val="00A72056"/>
    <w:rsid w:val="00A72662"/>
    <w:rsid w:val="00A73A71"/>
    <w:rsid w:val="00A81AF0"/>
    <w:rsid w:val="00A8237F"/>
    <w:rsid w:val="00A86EDB"/>
    <w:rsid w:val="00A8736D"/>
    <w:rsid w:val="00A9100B"/>
    <w:rsid w:val="00A920E1"/>
    <w:rsid w:val="00A92B2B"/>
    <w:rsid w:val="00A934B4"/>
    <w:rsid w:val="00A94589"/>
    <w:rsid w:val="00A94C49"/>
    <w:rsid w:val="00A977BD"/>
    <w:rsid w:val="00AB0288"/>
    <w:rsid w:val="00AB5658"/>
    <w:rsid w:val="00AB715B"/>
    <w:rsid w:val="00AC0C7A"/>
    <w:rsid w:val="00AC2280"/>
    <w:rsid w:val="00AC25FC"/>
    <w:rsid w:val="00AD11D9"/>
    <w:rsid w:val="00AD58EC"/>
    <w:rsid w:val="00AE1AAE"/>
    <w:rsid w:val="00AE43C6"/>
    <w:rsid w:val="00AE495C"/>
    <w:rsid w:val="00AE59BB"/>
    <w:rsid w:val="00AF0A68"/>
    <w:rsid w:val="00AF15EA"/>
    <w:rsid w:val="00AF259C"/>
    <w:rsid w:val="00AF3059"/>
    <w:rsid w:val="00AF47A9"/>
    <w:rsid w:val="00AF7733"/>
    <w:rsid w:val="00B00C5E"/>
    <w:rsid w:val="00B02974"/>
    <w:rsid w:val="00B04E71"/>
    <w:rsid w:val="00B052F0"/>
    <w:rsid w:val="00B07E78"/>
    <w:rsid w:val="00B1001C"/>
    <w:rsid w:val="00B1227A"/>
    <w:rsid w:val="00B124D7"/>
    <w:rsid w:val="00B14060"/>
    <w:rsid w:val="00B22292"/>
    <w:rsid w:val="00B243FC"/>
    <w:rsid w:val="00B253B2"/>
    <w:rsid w:val="00B25441"/>
    <w:rsid w:val="00B2708A"/>
    <w:rsid w:val="00B300AF"/>
    <w:rsid w:val="00B31328"/>
    <w:rsid w:val="00B3352D"/>
    <w:rsid w:val="00B33BFA"/>
    <w:rsid w:val="00B35B3B"/>
    <w:rsid w:val="00B36B53"/>
    <w:rsid w:val="00B40752"/>
    <w:rsid w:val="00B45508"/>
    <w:rsid w:val="00B5225A"/>
    <w:rsid w:val="00B577C5"/>
    <w:rsid w:val="00B60BC6"/>
    <w:rsid w:val="00B67A64"/>
    <w:rsid w:val="00B71A78"/>
    <w:rsid w:val="00B725FF"/>
    <w:rsid w:val="00B72BE9"/>
    <w:rsid w:val="00B736C6"/>
    <w:rsid w:val="00B73B0D"/>
    <w:rsid w:val="00B83AC2"/>
    <w:rsid w:val="00B84E18"/>
    <w:rsid w:val="00B8503C"/>
    <w:rsid w:val="00B8588D"/>
    <w:rsid w:val="00B87A99"/>
    <w:rsid w:val="00B9101F"/>
    <w:rsid w:val="00B934DB"/>
    <w:rsid w:val="00B96F1F"/>
    <w:rsid w:val="00BA02C9"/>
    <w:rsid w:val="00BA57E6"/>
    <w:rsid w:val="00BB0CBE"/>
    <w:rsid w:val="00BB226D"/>
    <w:rsid w:val="00BB56B5"/>
    <w:rsid w:val="00BB76A9"/>
    <w:rsid w:val="00BB7B3F"/>
    <w:rsid w:val="00BB7D65"/>
    <w:rsid w:val="00BC2928"/>
    <w:rsid w:val="00BC5279"/>
    <w:rsid w:val="00BC72B5"/>
    <w:rsid w:val="00BD0EA1"/>
    <w:rsid w:val="00BD5463"/>
    <w:rsid w:val="00BD641E"/>
    <w:rsid w:val="00BD6C89"/>
    <w:rsid w:val="00BD77A3"/>
    <w:rsid w:val="00BE2CAF"/>
    <w:rsid w:val="00BF0D36"/>
    <w:rsid w:val="00BF29B7"/>
    <w:rsid w:val="00BF392B"/>
    <w:rsid w:val="00C01821"/>
    <w:rsid w:val="00C032F8"/>
    <w:rsid w:val="00C068D3"/>
    <w:rsid w:val="00C129E8"/>
    <w:rsid w:val="00C15C82"/>
    <w:rsid w:val="00C217F2"/>
    <w:rsid w:val="00C22ADB"/>
    <w:rsid w:val="00C2322F"/>
    <w:rsid w:val="00C24FC5"/>
    <w:rsid w:val="00C2564F"/>
    <w:rsid w:val="00C274F1"/>
    <w:rsid w:val="00C27ADD"/>
    <w:rsid w:val="00C311FE"/>
    <w:rsid w:val="00C4128D"/>
    <w:rsid w:val="00C4696F"/>
    <w:rsid w:val="00C50777"/>
    <w:rsid w:val="00C51923"/>
    <w:rsid w:val="00C530A0"/>
    <w:rsid w:val="00C530F0"/>
    <w:rsid w:val="00C553EB"/>
    <w:rsid w:val="00C5738F"/>
    <w:rsid w:val="00C605DC"/>
    <w:rsid w:val="00C60A3C"/>
    <w:rsid w:val="00C62EFF"/>
    <w:rsid w:val="00C63961"/>
    <w:rsid w:val="00C67B3A"/>
    <w:rsid w:val="00C67D2C"/>
    <w:rsid w:val="00C67E1B"/>
    <w:rsid w:val="00C709C7"/>
    <w:rsid w:val="00C70A67"/>
    <w:rsid w:val="00C712BD"/>
    <w:rsid w:val="00C71E54"/>
    <w:rsid w:val="00C71E9A"/>
    <w:rsid w:val="00C81103"/>
    <w:rsid w:val="00C823B9"/>
    <w:rsid w:val="00C83E68"/>
    <w:rsid w:val="00C84068"/>
    <w:rsid w:val="00C87396"/>
    <w:rsid w:val="00C9058E"/>
    <w:rsid w:val="00C91042"/>
    <w:rsid w:val="00C93D6B"/>
    <w:rsid w:val="00CA050E"/>
    <w:rsid w:val="00CA1E36"/>
    <w:rsid w:val="00CA267D"/>
    <w:rsid w:val="00CA424F"/>
    <w:rsid w:val="00CA7E0F"/>
    <w:rsid w:val="00CB196B"/>
    <w:rsid w:val="00CB1F42"/>
    <w:rsid w:val="00CB2B23"/>
    <w:rsid w:val="00CB3231"/>
    <w:rsid w:val="00CB3CC3"/>
    <w:rsid w:val="00CB507C"/>
    <w:rsid w:val="00CB5BEB"/>
    <w:rsid w:val="00CB6E92"/>
    <w:rsid w:val="00CB7EF2"/>
    <w:rsid w:val="00CC0147"/>
    <w:rsid w:val="00CC486B"/>
    <w:rsid w:val="00CD192C"/>
    <w:rsid w:val="00CD1F73"/>
    <w:rsid w:val="00CD297A"/>
    <w:rsid w:val="00CD38BB"/>
    <w:rsid w:val="00CD610A"/>
    <w:rsid w:val="00CD7364"/>
    <w:rsid w:val="00CD7C73"/>
    <w:rsid w:val="00CE3D16"/>
    <w:rsid w:val="00CE3E6F"/>
    <w:rsid w:val="00CE64F1"/>
    <w:rsid w:val="00CE6EDB"/>
    <w:rsid w:val="00CE784C"/>
    <w:rsid w:val="00CE7D65"/>
    <w:rsid w:val="00CF12C3"/>
    <w:rsid w:val="00CF18FC"/>
    <w:rsid w:val="00CF3F3B"/>
    <w:rsid w:val="00CF7EC2"/>
    <w:rsid w:val="00D01422"/>
    <w:rsid w:val="00D11E04"/>
    <w:rsid w:val="00D14FB6"/>
    <w:rsid w:val="00D15126"/>
    <w:rsid w:val="00D1545E"/>
    <w:rsid w:val="00D22656"/>
    <w:rsid w:val="00D25DB2"/>
    <w:rsid w:val="00D3121E"/>
    <w:rsid w:val="00D312C5"/>
    <w:rsid w:val="00D36333"/>
    <w:rsid w:val="00D366D9"/>
    <w:rsid w:val="00D37E01"/>
    <w:rsid w:val="00D42156"/>
    <w:rsid w:val="00D439F7"/>
    <w:rsid w:val="00D474E2"/>
    <w:rsid w:val="00D50412"/>
    <w:rsid w:val="00D55A81"/>
    <w:rsid w:val="00D6130B"/>
    <w:rsid w:val="00D63A38"/>
    <w:rsid w:val="00D6573E"/>
    <w:rsid w:val="00D66C5B"/>
    <w:rsid w:val="00D719D8"/>
    <w:rsid w:val="00D769E0"/>
    <w:rsid w:val="00D7716B"/>
    <w:rsid w:val="00D80D56"/>
    <w:rsid w:val="00D81715"/>
    <w:rsid w:val="00D84513"/>
    <w:rsid w:val="00D874F8"/>
    <w:rsid w:val="00DA3CD2"/>
    <w:rsid w:val="00DA3ECF"/>
    <w:rsid w:val="00DA47AF"/>
    <w:rsid w:val="00DA564B"/>
    <w:rsid w:val="00DA6CC5"/>
    <w:rsid w:val="00DA77BD"/>
    <w:rsid w:val="00DB3901"/>
    <w:rsid w:val="00DB5DB5"/>
    <w:rsid w:val="00DC047C"/>
    <w:rsid w:val="00DC14D5"/>
    <w:rsid w:val="00DC698D"/>
    <w:rsid w:val="00DD0778"/>
    <w:rsid w:val="00DD0F75"/>
    <w:rsid w:val="00DD15AD"/>
    <w:rsid w:val="00DD27DE"/>
    <w:rsid w:val="00DD4013"/>
    <w:rsid w:val="00DD53F1"/>
    <w:rsid w:val="00DD749B"/>
    <w:rsid w:val="00DE112D"/>
    <w:rsid w:val="00DE22F7"/>
    <w:rsid w:val="00DE23D6"/>
    <w:rsid w:val="00DE5E44"/>
    <w:rsid w:val="00DF0B35"/>
    <w:rsid w:val="00DF2677"/>
    <w:rsid w:val="00E005DC"/>
    <w:rsid w:val="00E02376"/>
    <w:rsid w:val="00E051FF"/>
    <w:rsid w:val="00E062B7"/>
    <w:rsid w:val="00E11FB1"/>
    <w:rsid w:val="00E137DB"/>
    <w:rsid w:val="00E14D7F"/>
    <w:rsid w:val="00E17A81"/>
    <w:rsid w:val="00E2366E"/>
    <w:rsid w:val="00E26343"/>
    <w:rsid w:val="00E264A0"/>
    <w:rsid w:val="00E26697"/>
    <w:rsid w:val="00E27CD6"/>
    <w:rsid w:val="00E311A9"/>
    <w:rsid w:val="00E319D2"/>
    <w:rsid w:val="00E32EBF"/>
    <w:rsid w:val="00E33FCA"/>
    <w:rsid w:val="00E345EC"/>
    <w:rsid w:val="00E357E2"/>
    <w:rsid w:val="00E35DFD"/>
    <w:rsid w:val="00E36C94"/>
    <w:rsid w:val="00E36C9B"/>
    <w:rsid w:val="00E404FA"/>
    <w:rsid w:val="00E40885"/>
    <w:rsid w:val="00E40CC0"/>
    <w:rsid w:val="00E4775B"/>
    <w:rsid w:val="00E5004F"/>
    <w:rsid w:val="00E51AA5"/>
    <w:rsid w:val="00E54DCF"/>
    <w:rsid w:val="00E55D81"/>
    <w:rsid w:val="00E6252D"/>
    <w:rsid w:val="00E633D1"/>
    <w:rsid w:val="00E661A3"/>
    <w:rsid w:val="00E66A0D"/>
    <w:rsid w:val="00E67614"/>
    <w:rsid w:val="00E717E9"/>
    <w:rsid w:val="00E75288"/>
    <w:rsid w:val="00E77368"/>
    <w:rsid w:val="00E83DD6"/>
    <w:rsid w:val="00E847DE"/>
    <w:rsid w:val="00E863A4"/>
    <w:rsid w:val="00E876C0"/>
    <w:rsid w:val="00E8793E"/>
    <w:rsid w:val="00E920CB"/>
    <w:rsid w:val="00E95F2B"/>
    <w:rsid w:val="00E96854"/>
    <w:rsid w:val="00EA14FE"/>
    <w:rsid w:val="00EA1BC9"/>
    <w:rsid w:val="00EA3C26"/>
    <w:rsid w:val="00EB3DAE"/>
    <w:rsid w:val="00EB47F0"/>
    <w:rsid w:val="00EB588D"/>
    <w:rsid w:val="00EB6B6C"/>
    <w:rsid w:val="00EC0EC7"/>
    <w:rsid w:val="00EC1E6B"/>
    <w:rsid w:val="00EC3F47"/>
    <w:rsid w:val="00EC6699"/>
    <w:rsid w:val="00EC7764"/>
    <w:rsid w:val="00EE085C"/>
    <w:rsid w:val="00EE1267"/>
    <w:rsid w:val="00EE1FE8"/>
    <w:rsid w:val="00EE514E"/>
    <w:rsid w:val="00EE6FB9"/>
    <w:rsid w:val="00EE7787"/>
    <w:rsid w:val="00EF0E81"/>
    <w:rsid w:val="00EF1524"/>
    <w:rsid w:val="00EF20E8"/>
    <w:rsid w:val="00EF720C"/>
    <w:rsid w:val="00EF7450"/>
    <w:rsid w:val="00F0269C"/>
    <w:rsid w:val="00F033D7"/>
    <w:rsid w:val="00F12122"/>
    <w:rsid w:val="00F13968"/>
    <w:rsid w:val="00F14E22"/>
    <w:rsid w:val="00F16805"/>
    <w:rsid w:val="00F17554"/>
    <w:rsid w:val="00F20B90"/>
    <w:rsid w:val="00F212A8"/>
    <w:rsid w:val="00F228E0"/>
    <w:rsid w:val="00F2404A"/>
    <w:rsid w:val="00F2542C"/>
    <w:rsid w:val="00F36BC4"/>
    <w:rsid w:val="00F4072B"/>
    <w:rsid w:val="00F41E92"/>
    <w:rsid w:val="00F43BED"/>
    <w:rsid w:val="00F46681"/>
    <w:rsid w:val="00F542B1"/>
    <w:rsid w:val="00F5523E"/>
    <w:rsid w:val="00F552C9"/>
    <w:rsid w:val="00F55A3D"/>
    <w:rsid w:val="00F6045A"/>
    <w:rsid w:val="00F6083D"/>
    <w:rsid w:val="00F63CE5"/>
    <w:rsid w:val="00F71B42"/>
    <w:rsid w:val="00F764F6"/>
    <w:rsid w:val="00F775C2"/>
    <w:rsid w:val="00F77A61"/>
    <w:rsid w:val="00F86219"/>
    <w:rsid w:val="00F869CE"/>
    <w:rsid w:val="00F93541"/>
    <w:rsid w:val="00F93635"/>
    <w:rsid w:val="00F942F4"/>
    <w:rsid w:val="00F9621E"/>
    <w:rsid w:val="00FA185F"/>
    <w:rsid w:val="00FA35CA"/>
    <w:rsid w:val="00FA4D24"/>
    <w:rsid w:val="00FA7C94"/>
    <w:rsid w:val="00FA7DB3"/>
    <w:rsid w:val="00FB0F16"/>
    <w:rsid w:val="00FB28E4"/>
    <w:rsid w:val="00FB49E9"/>
    <w:rsid w:val="00FB558F"/>
    <w:rsid w:val="00FB5A2E"/>
    <w:rsid w:val="00FB60C5"/>
    <w:rsid w:val="00FB769D"/>
    <w:rsid w:val="00FC05E1"/>
    <w:rsid w:val="00FD2A5C"/>
    <w:rsid w:val="00FD3742"/>
    <w:rsid w:val="00FD4492"/>
    <w:rsid w:val="00FE0B97"/>
    <w:rsid w:val="00FE21A1"/>
    <w:rsid w:val="00FE5235"/>
    <w:rsid w:val="00FF4116"/>
    <w:rsid w:val="00FF6543"/>
    <w:rsid w:val="00FF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A2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D7"/>
    <w:rPr>
      <w:sz w:val="24"/>
      <w:szCs w:val="24"/>
      <w:lang w:val="en-GB"/>
    </w:rPr>
  </w:style>
  <w:style w:type="paragraph" w:styleId="Heading1">
    <w:name w:val="heading 1"/>
    <w:basedOn w:val="Normal"/>
    <w:next w:val="Normal"/>
    <w:link w:val="Heading1Char"/>
    <w:qFormat/>
    <w:rsid w:val="00D657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4F8"/>
    <w:pPr>
      <w:tabs>
        <w:tab w:val="center" w:pos="4153"/>
        <w:tab w:val="right" w:pos="8306"/>
      </w:tabs>
    </w:pPr>
  </w:style>
  <w:style w:type="paragraph" w:styleId="Footer">
    <w:name w:val="footer"/>
    <w:basedOn w:val="Normal"/>
    <w:rsid w:val="00D874F8"/>
    <w:pPr>
      <w:tabs>
        <w:tab w:val="center" w:pos="4153"/>
        <w:tab w:val="right" w:pos="8306"/>
      </w:tabs>
    </w:pPr>
  </w:style>
  <w:style w:type="table" w:styleId="TableGrid">
    <w:name w:val="Table Grid"/>
    <w:basedOn w:val="TableNormal"/>
    <w:uiPriority w:val="59"/>
    <w:rsid w:val="0060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1B42"/>
    <w:rPr>
      <w:rFonts w:ascii="Tahoma" w:hAnsi="Tahoma" w:cs="Tahoma"/>
      <w:sz w:val="16"/>
      <w:szCs w:val="16"/>
    </w:rPr>
  </w:style>
  <w:style w:type="character" w:styleId="CommentReference">
    <w:name w:val="annotation reference"/>
    <w:semiHidden/>
    <w:rsid w:val="001B213F"/>
    <w:rPr>
      <w:sz w:val="16"/>
      <w:szCs w:val="16"/>
    </w:rPr>
  </w:style>
  <w:style w:type="paragraph" w:styleId="CommentText">
    <w:name w:val="annotation text"/>
    <w:basedOn w:val="Normal"/>
    <w:semiHidden/>
    <w:rsid w:val="001B213F"/>
    <w:rPr>
      <w:sz w:val="20"/>
      <w:szCs w:val="20"/>
    </w:rPr>
  </w:style>
  <w:style w:type="paragraph" w:styleId="CommentSubject">
    <w:name w:val="annotation subject"/>
    <w:basedOn w:val="CommentText"/>
    <w:next w:val="CommentText"/>
    <w:semiHidden/>
    <w:rsid w:val="001B213F"/>
    <w:rPr>
      <w:b/>
      <w:bCs/>
    </w:rPr>
  </w:style>
  <w:style w:type="character" w:styleId="PageNumber">
    <w:name w:val="page number"/>
    <w:basedOn w:val="DefaultParagraphFont"/>
    <w:rsid w:val="00C068D3"/>
  </w:style>
  <w:style w:type="paragraph" w:styleId="ListParagraph">
    <w:name w:val="List Paragraph"/>
    <w:basedOn w:val="Normal"/>
    <w:uiPriority w:val="34"/>
    <w:qFormat/>
    <w:rsid w:val="00796E92"/>
    <w:pPr>
      <w:ind w:left="720"/>
      <w:contextualSpacing/>
    </w:pPr>
  </w:style>
  <w:style w:type="table" w:styleId="TableClassic1">
    <w:name w:val="Table Classic 1"/>
    <w:basedOn w:val="TableNormal"/>
    <w:rsid w:val="001B20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D1F73"/>
    <w:rPr>
      <w:color w:val="0000FF"/>
      <w:u w:val="single"/>
    </w:rPr>
  </w:style>
  <w:style w:type="paragraph" w:customStyle="1" w:styleId="Default">
    <w:name w:val="Default"/>
    <w:basedOn w:val="Normal"/>
    <w:rsid w:val="00AF7733"/>
    <w:pPr>
      <w:autoSpaceDE w:val="0"/>
      <w:autoSpaceDN w:val="0"/>
    </w:pPr>
    <w:rPr>
      <w:rFonts w:ascii="Gill Sans MT" w:eastAsia="PMingLiU" w:hAnsi="Gill Sans MT" w:cs="PMingLiU"/>
      <w:color w:val="000000"/>
      <w:lang w:val="en-US" w:eastAsia="zh-TW"/>
    </w:rPr>
  </w:style>
  <w:style w:type="paragraph" w:styleId="NormalWeb">
    <w:name w:val="Normal (Web)"/>
    <w:basedOn w:val="Normal"/>
    <w:uiPriority w:val="99"/>
    <w:semiHidden/>
    <w:unhideWhenUsed/>
    <w:rsid w:val="007506B1"/>
    <w:rPr>
      <w:rFonts w:eastAsiaTheme="minorHAnsi"/>
      <w:lang w:eastAsia="en-GB"/>
    </w:rPr>
  </w:style>
  <w:style w:type="character" w:styleId="Emphasis">
    <w:name w:val="Emphasis"/>
    <w:basedOn w:val="DefaultParagraphFont"/>
    <w:uiPriority w:val="20"/>
    <w:qFormat/>
    <w:rsid w:val="007506B1"/>
    <w:rPr>
      <w:i/>
      <w:iCs/>
    </w:rPr>
  </w:style>
  <w:style w:type="character" w:customStyle="1" w:styleId="Heading1Char">
    <w:name w:val="Heading 1 Char"/>
    <w:basedOn w:val="DefaultParagraphFont"/>
    <w:link w:val="Heading1"/>
    <w:rsid w:val="00D6573E"/>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6573E"/>
    <w:pPr>
      <w:spacing w:line="259" w:lineRule="auto"/>
      <w:outlineLvl w:val="9"/>
    </w:pPr>
    <w:rPr>
      <w:lang w:val="en-US"/>
    </w:rPr>
  </w:style>
  <w:style w:type="paragraph" w:styleId="TOC1">
    <w:name w:val="toc 1"/>
    <w:basedOn w:val="Normal"/>
    <w:next w:val="Normal"/>
    <w:autoRedefine/>
    <w:uiPriority w:val="39"/>
    <w:unhideWhenUsed/>
    <w:rsid w:val="00D6573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D7"/>
    <w:rPr>
      <w:sz w:val="24"/>
      <w:szCs w:val="24"/>
      <w:lang w:val="en-GB"/>
    </w:rPr>
  </w:style>
  <w:style w:type="paragraph" w:styleId="Heading1">
    <w:name w:val="heading 1"/>
    <w:basedOn w:val="Normal"/>
    <w:next w:val="Normal"/>
    <w:link w:val="Heading1Char"/>
    <w:qFormat/>
    <w:rsid w:val="00D657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4F8"/>
    <w:pPr>
      <w:tabs>
        <w:tab w:val="center" w:pos="4153"/>
        <w:tab w:val="right" w:pos="8306"/>
      </w:tabs>
    </w:pPr>
  </w:style>
  <w:style w:type="paragraph" w:styleId="Footer">
    <w:name w:val="footer"/>
    <w:basedOn w:val="Normal"/>
    <w:rsid w:val="00D874F8"/>
    <w:pPr>
      <w:tabs>
        <w:tab w:val="center" w:pos="4153"/>
        <w:tab w:val="right" w:pos="8306"/>
      </w:tabs>
    </w:pPr>
  </w:style>
  <w:style w:type="table" w:styleId="TableGrid">
    <w:name w:val="Table Grid"/>
    <w:basedOn w:val="TableNormal"/>
    <w:uiPriority w:val="59"/>
    <w:rsid w:val="0060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1B42"/>
    <w:rPr>
      <w:rFonts w:ascii="Tahoma" w:hAnsi="Tahoma" w:cs="Tahoma"/>
      <w:sz w:val="16"/>
      <w:szCs w:val="16"/>
    </w:rPr>
  </w:style>
  <w:style w:type="character" w:styleId="CommentReference">
    <w:name w:val="annotation reference"/>
    <w:semiHidden/>
    <w:rsid w:val="001B213F"/>
    <w:rPr>
      <w:sz w:val="16"/>
      <w:szCs w:val="16"/>
    </w:rPr>
  </w:style>
  <w:style w:type="paragraph" w:styleId="CommentText">
    <w:name w:val="annotation text"/>
    <w:basedOn w:val="Normal"/>
    <w:semiHidden/>
    <w:rsid w:val="001B213F"/>
    <w:rPr>
      <w:sz w:val="20"/>
      <w:szCs w:val="20"/>
    </w:rPr>
  </w:style>
  <w:style w:type="paragraph" w:styleId="CommentSubject">
    <w:name w:val="annotation subject"/>
    <w:basedOn w:val="CommentText"/>
    <w:next w:val="CommentText"/>
    <w:semiHidden/>
    <w:rsid w:val="001B213F"/>
    <w:rPr>
      <w:b/>
      <w:bCs/>
    </w:rPr>
  </w:style>
  <w:style w:type="character" w:styleId="PageNumber">
    <w:name w:val="page number"/>
    <w:basedOn w:val="DefaultParagraphFont"/>
    <w:rsid w:val="00C068D3"/>
  </w:style>
  <w:style w:type="paragraph" w:styleId="ListParagraph">
    <w:name w:val="List Paragraph"/>
    <w:basedOn w:val="Normal"/>
    <w:uiPriority w:val="34"/>
    <w:qFormat/>
    <w:rsid w:val="00796E92"/>
    <w:pPr>
      <w:ind w:left="720"/>
      <w:contextualSpacing/>
    </w:pPr>
  </w:style>
  <w:style w:type="table" w:styleId="TableClassic1">
    <w:name w:val="Table Classic 1"/>
    <w:basedOn w:val="TableNormal"/>
    <w:rsid w:val="001B20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D1F73"/>
    <w:rPr>
      <w:color w:val="0000FF"/>
      <w:u w:val="single"/>
    </w:rPr>
  </w:style>
  <w:style w:type="paragraph" w:customStyle="1" w:styleId="Default">
    <w:name w:val="Default"/>
    <w:basedOn w:val="Normal"/>
    <w:rsid w:val="00AF7733"/>
    <w:pPr>
      <w:autoSpaceDE w:val="0"/>
      <w:autoSpaceDN w:val="0"/>
    </w:pPr>
    <w:rPr>
      <w:rFonts w:ascii="Gill Sans MT" w:eastAsia="PMingLiU" w:hAnsi="Gill Sans MT" w:cs="PMingLiU"/>
      <w:color w:val="000000"/>
      <w:lang w:val="en-US" w:eastAsia="zh-TW"/>
    </w:rPr>
  </w:style>
  <w:style w:type="paragraph" w:styleId="NormalWeb">
    <w:name w:val="Normal (Web)"/>
    <w:basedOn w:val="Normal"/>
    <w:uiPriority w:val="99"/>
    <w:semiHidden/>
    <w:unhideWhenUsed/>
    <w:rsid w:val="007506B1"/>
    <w:rPr>
      <w:rFonts w:eastAsiaTheme="minorHAnsi"/>
      <w:lang w:eastAsia="en-GB"/>
    </w:rPr>
  </w:style>
  <w:style w:type="character" w:styleId="Emphasis">
    <w:name w:val="Emphasis"/>
    <w:basedOn w:val="DefaultParagraphFont"/>
    <w:uiPriority w:val="20"/>
    <w:qFormat/>
    <w:rsid w:val="007506B1"/>
    <w:rPr>
      <w:i/>
      <w:iCs/>
    </w:rPr>
  </w:style>
  <w:style w:type="character" w:customStyle="1" w:styleId="Heading1Char">
    <w:name w:val="Heading 1 Char"/>
    <w:basedOn w:val="DefaultParagraphFont"/>
    <w:link w:val="Heading1"/>
    <w:rsid w:val="00D6573E"/>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6573E"/>
    <w:pPr>
      <w:spacing w:line="259" w:lineRule="auto"/>
      <w:outlineLvl w:val="9"/>
    </w:pPr>
    <w:rPr>
      <w:lang w:val="en-US"/>
    </w:rPr>
  </w:style>
  <w:style w:type="paragraph" w:styleId="TOC1">
    <w:name w:val="toc 1"/>
    <w:basedOn w:val="Normal"/>
    <w:next w:val="Normal"/>
    <w:autoRedefine/>
    <w:uiPriority w:val="39"/>
    <w:unhideWhenUsed/>
    <w:rsid w:val="00D657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581">
      <w:bodyDiv w:val="1"/>
      <w:marLeft w:val="0"/>
      <w:marRight w:val="0"/>
      <w:marTop w:val="0"/>
      <w:marBottom w:val="0"/>
      <w:divBdr>
        <w:top w:val="none" w:sz="0" w:space="0" w:color="auto"/>
        <w:left w:val="none" w:sz="0" w:space="0" w:color="auto"/>
        <w:bottom w:val="none" w:sz="0" w:space="0" w:color="auto"/>
        <w:right w:val="none" w:sz="0" w:space="0" w:color="auto"/>
      </w:divBdr>
    </w:div>
    <w:div w:id="31809774">
      <w:bodyDiv w:val="1"/>
      <w:marLeft w:val="0"/>
      <w:marRight w:val="0"/>
      <w:marTop w:val="0"/>
      <w:marBottom w:val="0"/>
      <w:divBdr>
        <w:top w:val="none" w:sz="0" w:space="0" w:color="auto"/>
        <w:left w:val="none" w:sz="0" w:space="0" w:color="auto"/>
        <w:bottom w:val="none" w:sz="0" w:space="0" w:color="auto"/>
        <w:right w:val="none" w:sz="0" w:space="0" w:color="auto"/>
      </w:divBdr>
    </w:div>
    <w:div w:id="117262469">
      <w:bodyDiv w:val="1"/>
      <w:marLeft w:val="0"/>
      <w:marRight w:val="0"/>
      <w:marTop w:val="0"/>
      <w:marBottom w:val="0"/>
      <w:divBdr>
        <w:top w:val="none" w:sz="0" w:space="0" w:color="auto"/>
        <w:left w:val="none" w:sz="0" w:space="0" w:color="auto"/>
        <w:bottom w:val="none" w:sz="0" w:space="0" w:color="auto"/>
        <w:right w:val="none" w:sz="0" w:space="0" w:color="auto"/>
      </w:divBdr>
    </w:div>
    <w:div w:id="358051851">
      <w:bodyDiv w:val="1"/>
      <w:marLeft w:val="0"/>
      <w:marRight w:val="0"/>
      <w:marTop w:val="0"/>
      <w:marBottom w:val="0"/>
      <w:divBdr>
        <w:top w:val="none" w:sz="0" w:space="0" w:color="auto"/>
        <w:left w:val="none" w:sz="0" w:space="0" w:color="auto"/>
        <w:bottom w:val="none" w:sz="0" w:space="0" w:color="auto"/>
        <w:right w:val="none" w:sz="0" w:space="0" w:color="auto"/>
      </w:divBdr>
      <w:divsChild>
        <w:div w:id="1744058899">
          <w:marLeft w:val="0"/>
          <w:marRight w:val="0"/>
          <w:marTop w:val="0"/>
          <w:marBottom w:val="0"/>
          <w:divBdr>
            <w:top w:val="none" w:sz="0" w:space="0" w:color="auto"/>
            <w:left w:val="none" w:sz="0" w:space="0" w:color="auto"/>
            <w:bottom w:val="none" w:sz="0" w:space="0" w:color="auto"/>
            <w:right w:val="none" w:sz="0" w:space="0" w:color="auto"/>
          </w:divBdr>
        </w:div>
      </w:divsChild>
    </w:div>
    <w:div w:id="479275462">
      <w:bodyDiv w:val="1"/>
      <w:marLeft w:val="0"/>
      <w:marRight w:val="0"/>
      <w:marTop w:val="0"/>
      <w:marBottom w:val="0"/>
      <w:divBdr>
        <w:top w:val="none" w:sz="0" w:space="0" w:color="auto"/>
        <w:left w:val="none" w:sz="0" w:space="0" w:color="auto"/>
        <w:bottom w:val="none" w:sz="0" w:space="0" w:color="auto"/>
        <w:right w:val="none" w:sz="0" w:space="0" w:color="auto"/>
      </w:divBdr>
    </w:div>
    <w:div w:id="552036830">
      <w:bodyDiv w:val="1"/>
      <w:marLeft w:val="0"/>
      <w:marRight w:val="0"/>
      <w:marTop w:val="0"/>
      <w:marBottom w:val="0"/>
      <w:divBdr>
        <w:top w:val="none" w:sz="0" w:space="0" w:color="auto"/>
        <w:left w:val="none" w:sz="0" w:space="0" w:color="auto"/>
        <w:bottom w:val="none" w:sz="0" w:space="0" w:color="auto"/>
        <w:right w:val="none" w:sz="0" w:space="0" w:color="auto"/>
      </w:divBdr>
    </w:div>
    <w:div w:id="697463421">
      <w:bodyDiv w:val="1"/>
      <w:marLeft w:val="0"/>
      <w:marRight w:val="0"/>
      <w:marTop w:val="0"/>
      <w:marBottom w:val="0"/>
      <w:divBdr>
        <w:top w:val="none" w:sz="0" w:space="0" w:color="auto"/>
        <w:left w:val="none" w:sz="0" w:space="0" w:color="auto"/>
        <w:bottom w:val="none" w:sz="0" w:space="0" w:color="auto"/>
        <w:right w:val="none" w:sz="0" w:space="0" w:color="auto"/>
      </w:divBdr>
    </w:div>
    <w:div w:id="799035648">
      <w:bodyDiv w:val="1"/>
      <w:marLeft w:val="0"/>
      <w:marRight w:val="0"/>
      <w:marTop w:val="0"/>
      <w:marBottom w:val="0"/>
      <w:divBdr>
        <w:top w:val="none" w:sz="0" w:space="0" w:color="auto"/>
        <w:left w:val="none" w:sz="0" w:space="0" w:color="auto"/>
        <w:bottom w:val="none" w:sz="0" w:space="0" w:color="auto"/>
        <w:right w:val="none" w:sz="0" w:space="0" w:color="auto"/>
      </w:divBdr>
    </w:div>
    <w:div w:id="849372712">
      <w:bodyDiv w:val="1"/>
      <w:marLeft w:val="0"/>
      <w:marRight w:val="0"/>
      <w:marTop w:val="0"/>
      <w:marBottom w:val="0"/>
      <w:divBdr>
        <w:top w:val="none" w:sz="0" w:space="0" w:color="auto"/>
        <w:left w:val="none" w:sz="0" w:space="0" w:color="auto"/>
        <w:bottom w:val="none" w:sz="0" w:space="0" w:color="auto"/>
        <w:right w:val="none" w:sz="0" w:space="0" w:color="auto"/>
      </w:divBdr>
    </w:div>
    <w:div w:id="860750530">
      <w:bodyDiv w:val="1"/>
      <w:marLeft w:val="0"/>
      <w:marRight w:val="0"/>
      <w:marTop w:val="0"/>
      <w:marBottom w:val="0"/>
      <w:divBdr>
        <w:top w:val="none" w:sz="0" w:space="0" w:color="auto"/>
        <w:left w:val="none" w:sz="0" w:space="0" w:color="auto"/>
        <w:bottom w:val="none" w:sz="0" w:space="0" w:color="auto"/>
        <w:right w:val="none" w:sz="0" w:space="0" w:color="auto"/>
      </w:divBdr>
    </w:div>
    <w:div w:id="1237325030">
      <w:bodyDiv w:val="1"/>
      <w:marLeft w:val="0"/>
      <w:marRight w:val="0"/>
      <w:marTop w:val="0"/>
      <w:marBottom w:val="0"/>
      <w:divBdr>
        <w:top w:val="none" w:sz="0" w:space="0" w:color="auto"/>
        <w:left w:val="none" w:sz="0" w:space="0" w:color="auto"/>
        <w:bottom w:val="none" w:sz="0" w:space="0" w:color="auto"/>
        <w:right w:val="none" w:sz="0" w:space="0" w:color="auto"/>
      </w:divBdr>
    </w:div>
    <w:div w:id="1249193837">
      <w:bodyDiv w:val="1"/>
      <w:marLeft w:val="0"/>
      <w:marRight w:val="0"/>
      <w:marTop w:val="0"/>
      <w:marBottom w:val="0"/>
      <w:divBdr>
        <w:top w:val="none" w:sz="0" w:space="0" w:color="auto"/>
        <w:left w:val="none" w:sz="0" w:space="0" w:color="auto"/>
        <w:bottom w:val="none" w:sz="0" w:space="0" w:color="auto"/>
        <w:right w:val="none" w:sz="0" w:space="0" w:color="auto"/>
      </w:divBdr>
      <w:divsChild>
        <w:div w:id="2095591860">
          <w:marLeft w:val="0"/>
          <w:marRight w:val="0"/>
          <w:marTop w:val="0"/>
          <w:marBottom w:val="0"/>
          <w:divBdr>
            <w:top w:val="none" w:sz="0" w:space="0" w:color="auto"/>
            <w:left w:val="none" w:sz="0" w:space="0" w:color="auto"/>
            <w:bottom w:val="none" w:sz="0" w:space="0" w:color="auto"/>
            <w:right w:val="none" w:sz="0" w:space="0" w:color="auto"/>
          </w:divBdr>
          <w:divsChild>
            <w:div w:id="164826353">
              <w:marLeft w:val="0"/>
              <w:marRight w:val="0"/>
              <w:marTop w:val="0"/>
              <w:marBottom w:val="0"/>
              <w:divBdr>
                <w:top w:val="none" w:sz="0" w:space="0" w:color="auto"/>
                <w:left w:val="none" w:sz="0" w:space="0" w:color="auto"/>
                <w:bottom w:val="none" w:sz="0" w:space="0" w:color="auto"/>
                <w:right w:val="none" w:sz="0" w:space="0" w:color="auto"/>
              </w:divBdr>
            </w:div>
            <w:div w:id="230702787">
              <w:marLeft w:val="0"/>
              <w:marRight w:val="0"/>
              <w:marTop w:val="0"/>
              <w:marBottom w:val="0"/>
              <w:divBdr>
                <w:top w:val="none" w:sz="0" w:space="0" w:color="auto"/>
                <w:left w:val="none" w:sz="0" w:space="0" w:color="auto"/>
                <w:bottom w:val="none" w:sz="0" w:space="0" w:color="auto"/>
                <w:right w:val="none" w:sz="0" w:space="0" w:color="auto"/>
              </w:divBdr>
            </w:div>
            <w:div w:id="269631120">
              <w:marLeft w:val="0"/>
              <w:marRight w:val="0"/>
              <w:marTop w:val="0"/>
              <w:marBottom w:val="0"/>
              <w:divBdr>
                <w:top w:val="none" w:sz="0" w:space="0" w:color="auto"/>
                <w:left w:val="none" w:sz="0" w:space="0" w:color="auto"/>
                <w:bottom w:val="none" w:sz="0" w:space="0" w:color="auto"/>
                <w:right w:val="none" w:sz="0" w:space="0" w:color="auto"/>
              </w:divBdr>
            </w:div>
            <w:div w:id="298609870">
              <w:marLeft w:val="0"/>
              <w:marRight w:val="0"/>
              <w:marTop w:val="0"/>
              <w:marBottom w:val="0"/>
              <w:divBdr>
                <w:top w:val="none" w:sz="0" w:space="0" w:color="auto"/>
                <w:left w:val="none" w:sz="0" w:space="0" w:color="auto"/>
                <w:bottom w:val="none" w:sz="0" w:space="0" w:color="auto"/>
                <w:right w:val="none" w:sz="0" w:space="0" w:color="auto"/>
              </w:divBdr>
            </w:div>
            <w:div w:id="317199031">
              <w:marLeft w:val="0"/>
              <w:marRight w:val="0"/>
              <w:marTop w:val="0"/>
              <w:marBottom w:val="0"/>
              <w:divBdr>
                <w:top w:val="none" w:sz="0" w:space="0" w:color="auto"/>
                <w:left w:val="none" w:sz="0" w:space="0" w:color="auto"/>
                <w:bottom w:val="none" w:sz="0" w:space="0" w:color="auto"/>
                <w:right w:val="none" w:sz="0" w:space="0" w:color="auto"/>
              </w:divBdr>
            </w:div>
            <w:div w:id="516773787">
              <w:marLeft w:val="0"/>
              <w:marRight w:val="0"/>
              <w:marTop w:val="0"/>
              <w:marBottom w:val="0"/>
              <w:divBdr>
                <w:top w:val="none" w:sz="0" w:space="0" w:color="auto"/>
                <w:left w:val="none" w:sz="0" w:space="0" w:color="auto"/>
                <w:bottom w:val="none" w:sz="0" w:space="0" w:color="auto"/>
                <w:right w:val="none" w:sz="0" w:space="0" w:color="auto"/>
              </w:divBdr>
            </w:div>
            <w:div w:id="608582417">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653531909">
              <w:marLeft w:val="0"/>
              <w:marRight w:val="0"/>
              <w:marTop w:val="0"/>
              <w:marBottom w:val="0"/>
              <w:divBdr>
                <w:top w:val="none" w:sz="0" w:space="0" w:color="auto"/>
                <w:left w:val="none" w:sz="0" w:space="0" w:color="auto"/>
                <w:bottom w:val="none" w:sz="0" w:space="0" w:color="auto"/>
                <w:right w:val="none" w:sz="0" w:space="0" w:color="auto"/>
              </w:divBdr>
            </w:div>
            <w:div w:id="814177413">
              <w:marLeft w:val="0"/>
              <w:marRight w:val="0"/>
              <w:marTop w:val="0"/>
              <w:marBottom w:val="0"/>
              <w:divBdr>
                <w:top w:val="none" w:sz="0" w:space="0" w:color="auto"/>
                <w:left w:val="none" w:sz="0" w:space="0" w:color="auto"/>
                <w:bottom w:val="none" w:sz="0" w:space="0" w:color="auto"/>
                <w:right w:val="none" w:sz="0" w:space="0" w:color="auto"/>
              </w:divBdr>
            </w:div>
            <w:div w:id="1054934905">
              <w:marLeft w:val="0"/>
              <w:marRight w:val="0"/>
              <w:marTop w:val="0"/>
              <w:marBottom w:val="0"/>
              <w:divBdr>
                <w:top w:val="none" w:sz="0" w:space="0" w:color="auto"/>
                <w:left w:val="none" w:sz="0" w:space="0" w:color="auto"/>
                <w:bottom w:val="none" w:sz="0" w:space="0" w:color="auto"/>
                <w:right w:val="none" w:sz="0" w:space="0" w:color="auto"/>
              </w:divBdr>
            </w:div>
            <w:div w:id="1242328057">
              <w:marLeft w:val="0"/>
              <w:marRight w:val="0"/>
              <w:marTop w:val="0"/>
              <w:marBottom w:val="0"/>
              <w:divBdr>
                <w:top w:val="none" w:sz="0" w:space="0" w:color="auto"/>
                <w:left w:val="none" w:sz="0" w:space="0" w:color="auto"/>
                <w:bottom w:val="none" w:sz="0" w:space="0" w:color="auto"/>
                <w:right w:val="none" w:sz="0" w:space="0" w:color="auto"/>
              </w:divBdr>
            </w:div>
            <w:div w:id="1331134368">
              <w:marLeft w:val="0"/>
              <w:marRight w:val="0"/>
              <w:marTop w:val="0"/>
              <w:marBottom w:val="0"/>
              <w:divBdr>
                <w:top w:val="none" w:sz="0" w:space="0" w:color="auto"/>
                <w:left w:val="none" w:sz="0" w:space="0" w:color="auto"/>
                <w:bottom w:val="none" w:sz="0" w:space="0" w:color="auto"/>
                <w:right w:val="none" w:sz="0" w:space="0" w:color="auto"/>
              </w:divBdr>
            </w:div>
            <w:div w:id="1331248821">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48109301">
              <w:marLeft w:val="0"/>
              <w:marRight w:val="0"/>
              <w:marTop w:val="0"/>
              <w:marBottom w:val="0"/>
              <w:divBdr>
                <w:top w:val="none" w:sz="0" w:space="0" w:color="auto"/>
                <w:left w:val="none" w:sz="0" w:space="0" w:color="auto"/>
                <w:bottom w:val="none" w:sz="0" w:space="0" w:color="auto"/>
                <w:right w:val="none" w:sz="0" w:space="0" w:color="auto"/>
              </w:divBdr>
            </w:div>
            <w:div w:id="1639844886">
              <w:marLeft w:val="0"/>
              <w:marRight w:val="0"/>
              <w:marTop w:val="0"/>
              <w:marBottom w:val="0"/>
              <w:divBdr>
                <w:top w:val="none" w:sz="0" w:space="0" w:color="auto"/>
                <w:left w:val="none" w:sz="0" w:space="0" w:color="auto"/>
                <w:bottom w:val="none" w:sz="0" w:space="0" w:color="auto"/>
                <w:right w:val="none" w:sz="0" w:space="0" w:color="auto"/>
              </w:divBdr>
            </w:div>
            <w:div w:id="1645425763">
              <w:marLeft w:val="0"/>
              <w:marRight w:val="0"/>
              <w:marTop w:val="0"/>
              <w:marBottom w:val="0"/>
              <w:divBdr>
                <w:top w:val="none" w:sz="0" w:space="0" w:color="auto"/>
                <w:left w:val="none" w:sz="0" w:space="0" w:color="auto"/>
                <w:bottom w:val="none" w:sz="0" w:space="0" w:color="auto"/>
                <w:right w:val="none" w:sz="0" w:space="0" w:color="auto"/>
              </w:divBdr>
            </w:div>
            <w:div w:id="20374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4207">
      <w:bodyDiv w:val="1"/>
      <w:marLeft w:val="0"/>
      <w:marRight w:val="0"/>
      <w:marTop w:val="0"/>
      <w:marBottom w:val="0"/>
      <w:divBdr>
        <w:top w:val="none" w:sz="0" w:space="0" w:color="auto"/>
        <w:left w:val="none" w:sz="0" w:space="0" w:color="auto"/>
        <w:bottom w:val="none" w:sz="0" w:space="0" w:color="auto"/>
        <w:right w:val="none" w:sz="0" w:space="0" w:color="auto"/>
      </w:divBdr>
    </w:div>
    <w:div w:id="1444301930">
      <w:bodyDiv w:val="1"/>
      <w:marLeft w:val="0"/>
      <w:marRight w:val="0"/>
      <w:marTop w:val="0"/>
      <w:marBottom w:val="0"/>
      <w:divBdr>
        <w:top w:val="none" w:sz="0" w:space="0" w:color="auto"/>
        <w:left w:val="none" w:sz="0" w:space="0" w:color="auto"/>
        <w:bottom w:val="none" w:sz="0" w:space="0" w:color="auto"/>
        <w:right w:val="none" w:sz="0" w:space="0" w:color="auto"/>
      </w:divBdr>
    </w:div>
    <w:div w:id="1583682802">
      <w:bodyDiv w:val="1"/>
      <w:marLeft w:val="0"/>
      <w:marRight w:val="0"/>
      <w:marTop w:val="0"/>
      <w:marBottom w:val="0"/>
      <w:divBdr>
        <w:top w:val="none" w:sz="0" w:space="0" w:color="auto"/>
        <w:left w:val="none" w:sz="0" w:space="0" w:color="auto"/>
        <w:bottom w:val="none" w:sz="0" w:space="0" w:color="auto"/>
        <w:right w:val="none" w:sz="0" w:space="0" w:color="auto"/>
      </w:divBdr>
    </w:div>
    <w:div w:id="1941986495">
      <w:bodyDiv w:val="1"/>
      <w:marLeft w:val="0"/>
      <w:marRight w:val="0"/>
      <w:marTop w:val="0"/>
      <w:marBottom w:val="0"/>
      <w:divBdr>
        <w:top w:val="none" w:sz="0" w:space="0" w:color="auto"/>
        <w:left w:val="none" w:sz="0" w:space="0" w:color="auto"/>
        <w:bottom w:val="none" w:sz="0" w:space="0" w:color="auto"/>
        <w:right w:val="none" w:sz="0" w:space="0" w:color="auto"/>
      </w:divBdr>
    </w:div>
    <w:div w:id="20921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e84e6cdd4b5b4ddb8a42a37b8bd809d4 xmlns="c8fec470-01b7-46e0-baa7-af9a4b68a701">
      <Terms xmlns="http://schemas.microsoft.com/office/infopath/2007/PartnerControls">
        <TermInfo>
          <TermName>West ＆ Central Africa</TermName>
          <TermId>2d659917-486a-4622-a8e2-ee99537b27ee</TermId>
        </TermInfo>
      </Terms>
    </e84e6cdd4b5b4ddb8a42a37b8bd809d4>
    <TaxCatchAll xmlns="c8fec470-01b7-46e0-baa7-af9a4b68a701">
      <Value>14</Value>
      <Value>113</Value>
    </TaxCatchAll>
    <Reporting_x005f_x0020_Year xmlns="C8FEC470-01B7-46E0-BAA7-AF9A4B68A701">2013</Reporting_x005f_x0020_Year>
    <SCITaxPrimaryLocationTaxHTField0 xmlns="9010b16a-6f5b-44a2-943d-2cf6007c0b55">
      <Terms xmlns="http://schemas.microsoft.com/office/infopath/2007/PartnerControls">
        <TermInfo xmlns="http://schemas.microsoft.com/office/infopath/2007/PartnerControls">
          <TermName xmlns="http://schemas.microsoft.com/office/infopath/2007/PartnerControls">Senegal</TermName>
          <TermId xmlns="http://schemas.microsoft.com/office/infopath/2007/PartnerControls">b718e1f6-7703-4d73-964c-9b95381b65a1</TermId>
        </TermInfo>
      </Terms>
    </SCITaxPrimaryLo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 Annual Report Narrative" ma:contentTypeID="0x0101003505D9C9B1F815479E454A665C497FB30092A0E5C2F27DC44584674AC6F261EDD1" ma:contentTypeVersion="14" ma:contentTypeDescription="" ma:contentTypeScope="" ma:versionID="24efdd9f44afe1f5bf67a6c140e323ca">
  <xsd:schema xmlns:xsd="http://www.w3.org/2001/XMLSchema" xmlns:xs="http://www.w3.org/2001/XMLSchema" xmlns:p="http://schemas.microsoft.com/office/2006/metadata/properties" xmlns:ns2="c8fec470-01b7-46e0-baa7-af9a4b68a701" xmlns:ns3="C8FEC470-01B7-46E0-BAA7-AF9A4B68A701" xmlns:ns4="9010b16a-6f5b-44a2-943d-2cf6007c0b55" targetNamespace="http://schemas.microsoft.com/office/2006/metadata/properties" ma:root="true" ma:fieldsID="c8f4c5f5dbc199336fc6774dd11eb2e4" ns2:_="" ns3:_="" ns4:_="">
    <xsd:import namespace="c8fec470-01b7-46e0-baa7-af9a4b68a701"/>
    <xsd:import namespace="C8FEC470-01B7-46E0-BAA7-AF9A4B68A701"/>
    <xsd:import namespace="9010b16a-6f5b-44a2-943d-2cf6007c0b55"/>
    <xsd:element name="properties">
      <xsd:complexType>
        <xsd:sequence>
          <xsd:element name="documentManagement">
            <xsd:complexType>
              <xsd:all>
                <xsd:element ref="ns2:e84e6cdd4b5b4ddb8a42a37b8bd809d4" minOccurs="0"/>
                <xsd:element ref="ns2:TaxCatchAll" minOccurs="0"/>
                <xsd:element ref="ns2:TaxCatchAllLabel" minOccurs="0"/>
                <xsd:element ref="ns4:SCITaxPrimaryLocationTaxHTField0" minOccurs="0"/>
                <xsd:element ref="ns3:Reporting_x005f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e84e6cdd4b5b4ddb8a42a37b8bd809d4" ma:index="8" nillable="true" ma:taxonomy="true" ma:internalName="e84e6cdd4b5b4ddb8a42a37b8bd809d4" ma:taxonomyFieldName="Region" ma:displayName="Region" ma:readOnly="false" ma:default="" ma:fieldId="{e84e6cdd-4b5b-4ddb-8a42-a37b8bd809d4}"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Reporting_x005f_x0020_Year" ma:index="14" nillable="true" ma:displayName="Reporting Year" ma:default="2013" ma:format="Dropdown" ma:internalName="Reporting_x0020_Year" ma:readOnly="false">
      <xsd:simpleType>
        <xsd:restriction base="dms:Choice">
          <xsd:enumeration value="2013"/>
        </xsd:restriction>
      </xsd:simpleType>
    </xsd:element>
  </xsd:schema>
  <xsd:schema xmlns:xsd="http://www.w3.org/2001/XMLSchema" xmlns:xs="http://www.w3.org/2001/XMLSchema" xmlns:dms="http://schemas.microsoft.com/office/2006/documentManagement/types" xmlns:pc="http://schemas.microsoft.com/office/infopath/2007/PartnerControls" targetNamespace="9010b16a-6f5b-44a2-943d-2cf6007c0b55" elementFormDefault="qualified">
    <xsd:import namespace="http://schemas.microsoft.com/office/2006/documentManagement/types"/>
    <xsd:import namespace="http://schemas.microsoft.com/office/infopath/2007/PartnerControls"/>
    <xsd:element name="SCITaxPrimaryLocationTaxHTField0" ma:index="12"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00E6-9B64-4BE3-B558-99F24419079B}"/>
</file>

<file path=customXml/itemProps2.xml><?xml version="1.0" encoding="utf-8"?>
<ds:datastoreItem xmlns:ds="http://schemas.openxmlformats.org/officeDocument/2006/customXml" ds:itemID="{988953FA-244D-4FDA-A38D-08093ABD17AE}"/>
</file>

<file path=customXml/itemProps3.xml><?xml version="1.0" encoding="utf-8"?>
<ds:datastoreItem xmlns:ds="http://schemas.openxmlformats.org/officeDocument/2006/customXml" ds:itemID="{8483AACC-7761-47FA-B2E3-CCD7BD0E9C16}"/>
</file>

<file path=customXml/itemProps4.xml><?xml version="1.0" encoding="utf-8"?>
<ds:datastoreItem xmlns:ds="http://schemas.openxmlformats.org/officeDocument/2006/customXml" ds:itemID="{3FE22965-4B35-4C39-AED2-D39802568B09}"/>
</file>

<file path=docProps/app.xml><?xml version="1.0" encoding="utf-8"?>
<Properties xmlns="http://schemas.openxmlformats.org/officeDocument/2006/extended-properties" xmlns:vt="http://schemas.openxmlformats.org/officeDocument/2006/docPropsVTypes">
  <Template>Normal</Template>
  <TotalTime>160</TotalTime>
  <Pages>17</Pages>
  <Words>5564</Words>
  <Characters>31297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CAR 2013 Template</vt:lpstr>
    </vt:vector>
  </TitlesOfParts>
  <Company>The Boston Consulting Group</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2013 Template</dc:title>
  <dc:creator>Amouyel Alexandra</dc:creator>
  <cp:lastModifiedBy>Brown, Katherine</cp:lastModifiedBy>
  <cp:revision>6</cp:revision>
  <dcterms:created xsi:type="dcterms:W3CDTF">2014-03-31T12:35:00Z</dcterms:created>
  <dcterms:modified xsi:type="dcterms:W3CDTF">2014-04-22T14:07:00Z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0x0101003505D9C9B1F815479E454A665C497FB30092A0E5C2F27DC44584674AC6F261EDD1</vt:lpwstr>
  </property>
  <property fmtid="{D5CDD505-2E9C-101B-9397-08002B2CF9AE}" pid="3" name="SCITaxSource">
    <vt:lpwstr/>
  </property>
  <property fmtid="{D5CDD505-2E9C-101B-9397-08002B2CF9AE}" pid="4" name="SCITaxDocumentCategory">
    <vt:lpwstr>165;#Template|90ac3026-5b5f-4013-96df-9ef7a00cf485</vt:lpwstr>
  </property>
  <property fmtid="{D5CDD505-2E9C-101B-9397-08002B2CF9AE}" pid="5" name="SCITaxAssociatedThemes">
    <vt:lpwstr/>
  </property>
  <property fmtid="{D5CDD505-2E9C-101B-9397-08002B2CF9AE}" pid="6" name="SCITaxPrimaryTheme">
    <vt:lpwstr/>
  </property>
  <property fmtid="{D5CDD505-2E9C-101B-9397-08002B2CF9AE}" pid="7" name="SCITaxAssociatedDepartments">
    <vt:lpwstr/>
  </property>
  <property fmtid="{D5CDD505-2E9C-101B-9397-08002B2CF9AE}" pid="8" name="SCITaxPartners">
    <vt:lpwstr/>
  </property>
  <property fmtid="{D5CDD505-2E9C-101B-9397-08002B2CF9AE}" pid="9" name="SCITaxKeywords">
    <vt:lpwstr/>
  </property>
  <property fmtid="{D5CDD505-2E9C-101B-9397-08002B2CF9AE}" pid="10" name="SCITaxPrimaryLocation">
    <vt:lpwstr>113;#Senegal|b718e1f6-7703-4d73-964c-9b95381b65a1</vt:lpwstr>
  </property>
  <property fmtid="{D5CDD505-2E9C-101B-9397-08002B2CF9AE}" pid="11" name="SCITaxAssociatedLocations">
    <vt:lpwstr/>
  </property>
  <property fmtid="{D5CDD505-2E9C-101B-9397-08002B2CF9AE}" pid="12" name="SCITaxLanguage">
    <vt:lpwstr/>
  </property>
  <property fmtid="{D5CDD505-2E9C-101B-9397-08002B2CF9AE}" pid="13" name="SCITaxPrimaryDepartment">
    <vt:lpwstr/>
  </property>
  <property fmtid="{D5CDD505-2E9C-101B-9397-08002B2CF9AE}" pid="14" name="SCIForPublicDistribution">
    <vt:bool>false</vt:bool>
  </property>
  <property fmtid="{D5CDD505-2E9C-101B-9397-08002B2CF9AE}" pid="15" name="SCITaxSourceTaxHTField0">
    <vt:lpwstr/>
  </property>
  <property fmtid="{D5CDD505-2E9C-101B-9397-08002B2CF9AE}" pid="16" name="SCITaxDisasterTypeTaxHTField0">
    <vt:lpwstr/>
  </property>
  <property fmtid="{D5CDD505-2E9C-101B-9397-08002B2CF9AE}" pid="17" name="SCITaxPrimaryThemeTaxHTField0">
    <vt:lpwstr/>
  </property>
  <property fmtid="{D5CDD505-2E9C-101B-9397-08002B2CF9AE}" pid="18" name="SCITaxPartnersTaxHTField0">
    <vt:lpwstr/>
  </property>
  <property fmtid="{D5CDD505-2E9C-101B-9397-08002B2CF9AE}" pid="19" name="SCITaxLanguageTaxHTField0">
    <vt:lpwstr/>
  </property>
  <property fmtid="{D5CDD505-2E9C-101B-9397-08002B2CF9AE}" pid="20" name="SCITaxSubject">
    <vt:lpwstr/>
  </property>
  <property fmtid="{D5CDD505-2E9C-101B-9397-08002B2CF9AE}" pid="21" name="SCITaxSubjectTaxHTField0">
    <vt:lpwstr/>
  </property>
  <property fmtid="{D5CDD505-2E9C-101B-9397-08002B2CF9AE}" pid="22" name="Region">
    <vt:lpwstr>14;#West ＆ Central Africa|2d659917-486a-4622-a8e2-ee99537b27ee</vt:lpwstr>
  </property>
  <property fmtid="{D5CDD505-2E9C-101B-9397-08002B2CF9AE}" pid="23" name="SCITaxPrimaryDepartmentTaxHTField0">
    <vt:lpwstr/>
  </property>
  <property fmtid="{D5CDD505-2E9C-101B-9397-08002B2CF9AE}" pid="24" name="SCIPrimaryLocation">
    <vt:lpwstr/>
  </property>
  <property fmtid="{D5CDD505-2E9C-101B-9397-08002B2CF9AE}" pid="25" name="ka785c14269c4446a7aa14ba28ac9025">
    <vt:lpwstr/>
  </property>
  <property fmtid="{D5CDD505-2E9C-101B-9397-08002B2CF9AE}" pid="26" name="k7b34aba29d1494ab509a95308c79770">
    <vt:lpwstr/>
  </property>
  <property fmtid="{D5CDD505-2E9C-101B-9397-08002B2CF9AE}" pid="27" name="SCIDescription">
    <vt:lpwstr>&lt;div&gt;&lt;/div&gt;</vt:lpwstr>
  </property>
  <property fmtid="{D5CDD505-2E9C-101B-9397-08002B2CF9AE}" pid="28" name="SCITaxDocumentCategoryTaxHTField0">
    <vt:lpwstr>Template|90ac3026-5b5f-4013-96df-9ef7a00cf485</vt:lpwstr>
  </property>
  <property fmtid="{D5CDD505-2E9C-101B-9397-08002B2CF9AE}" pid="29" name="SCITaxAssociatedDepartmentsTaxHTField0">
    <vt:lpwstr/>
  </property>
  <property fmtid="{D5CDD505-2E9C-101B-9397-08002B2CF9AE}" pid="30" name="SOF Code">
    <vt:lpwstr/>
  </property>
  <property fmtid="{D5CDD505-2E9C-101B-9397-08002B2CF9AE}" pid="31" name="SCITaxKeywordsTaxHTField0">
    <vt:lpwstr/>
  </property>
  <property fmtid="{D5CDD505-2E9C-101B-9397-08002B2CF9AE}" pid="32" name="SCITaxAssociatedThemesTaxHTField0">
    <vt:lpwstr/>
  </property>
  <property fmtid="{D5CDD505-2E9C-101B-9397-08002B2CF9AE}" pid="33" name="SCITaxDisasterType">
    <vt:lpwstr/>
  </property>
  <property fmtid="{D5CDD505-2E9C-101B-9397-08002B2CF9AE}" pid="34" name="kaee161f76324d7f9005ad8b85b1c6e1">
    <vt:lpwstr/>
  </property>
  <property fmtid="{D5CDD505-2E9C-101B-9397-08002B2CF9AE}" pid="35" name="AMS_x0020_Project">
    <vt:lpwstr/>
  </property>
  <property fmtid="{D5CDD505-2E9C-101B-9397-08002B2CF9AE}" pid="36" name="SCITaxAssociatedLocationsTaxHTField0">
    <vt:lpwstr/>
  </property>
  <property fmtid="{D5CDD505-2E9C-101B-9397-08002B2CF9AE}" pid="37" name="ha269a9a910d4bd7b50f9acb10f330ba">
    <vt:lpwstr/>
  </property>
  <property fmtid="{D5CDD505-2E9C-101B-9397-08002B2CF9AE}" pid="38" name="Global_x0020_Indicator_x0020_Workbook">
    <vt:lpwstr/>
  </property>
  <property fmtid="{D5CDD505-2E9C-101B-9397-08002B2CF9AE}" pid="39" name="Global Indicator Workbook">
    <vt:lpwstr/>
  </property>
  <property fmtid="{D5CDD505-2E9C-101B-9397-08002B2CF9AE}" pid="40" name="AMS Project">
    <vt:lpwstr/>
  </property>
</Properties>
</file>